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98B" w:rsidRPr="00507408" w:rsidRDefault="0017498B" w:rsidP="0017498B">
      <w:pPr>
        <w:tabs>
          <w:tab w:val="left" w:pos="1985"/>
        </w:tabs>
        <w:spacing w:after="0"/>
        <w:ind w:left="0" w:firstLine="0"/>
        <w:rPr>
          <w:rFonts w:ascii="Arial" w:hAnsi="Arial" w:cs="Arial"/>
          <w:b/>
          <w:bCs/>
          <w:sz w:val="28"/>
          <w:lang w:val="en-US"/>
        </w:rPr>
      </w:pPr>
      <w:r>
        <w:rPr>
          <w:rFonts w:ascii="Arial" w:hAnsi="Arial" w:cs="Arial"/>
          <w:b/>
          <w:bCs/>
          <w:sz w:val="28"/>
          <w:lang w:val="en-US"/>
        </w:rPr>
        <w:t>3GPP TSG RAN WG1 #103-e</w:t>
      </w:r>
      <w:bookmarkStart w:id="0" w:name="_GoBack"/>
      <w:bookmarkEnd w:id="0"/>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t>R1-</w:t>
      </w:r>
      <w:r w:rsidR="002165AF">
        <w:rPr>
          <w:rFonts w:ascii="Arial" w:hAnsi="Arial" w:cs="Arial"/>
          <w:b/>
          <w:bCs/>
          <w:sz w:val="28"/>
          <w:lang w:val="en-US"/>
        </w:rPr>
        <w:t xml:space="preserve"> </w:t>
      </w:r>
      <w:r w:rsidR="002165AF" w:rsidRPr="002165AF">
        <w:rPr>
          <w:rFonts w:ascii="Arial" w:hAnsi="Arial" w:cs="Arial"/>
          <w:b/>
          <w:bCs/>
          <w:sz w:val="28"/>
          <w:lang w:val="en-US"/>
        </w:rPr>
        <w:t>2008061</w:t>
      </w:r>
    </w:p>
    <w:p w:rsidR="0017498B" w:rsidRPr="00507408" w:rsidRDefault="0017498B" w:rsidP="0017498B">
      <w:pPr>
        <w:tabs>
          <w:tab w:val="left" w:pos="1985"/>
        </w:tabs>
        <w:spacing w:after="0"/>
        <w:ind w:left="0" w:firstLine="0"/>
        <w:rPr>
          <w:rFonts w:ascii="Arial" w:hAnsi="Arial" w:cs="Arial"/>
          <w:b/>
          <w:bCs/>
          <w:sz w:val="28"/>
          <w:lang w:val="en-US"/>
        </w:rPr>
      </w:pPr>
      <w:r w:rsidRPr="00505C9A">
        <w:rPr>
          <w:rFonts w:ascii="Arial" w:hAnsi="Arial" w:cs="Arial"/>
          <w:b/>
          <w:bCs/>
          <w:sz w:val="28"/>
          <w:lang w:val="en-US"/>
        </w:rPr>
        <w:t>e-Meeting, October 26th – November 13th, 2020</w:t>
      </w: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17498B">
        <w:rPr>
          <w:rFonts w:ascii="Arial" w:eastAsia="맑은 고딕" w:hAnsi="Arial"/>
          <w:sz w:val="24"/>
          <w:lang w:val="en-US" w:eastAsia="ko-KR"/>
        </w:rPr>
        <w:t>4</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66812" w:rsidRPr="00C66812">
        <w:rPr>
          <w:rFonts w:ascii="Arial" w:eastAsia="바탕" w:hAnsi="Arial"/>
          <w:sz w:val="24"/>
          <w:lang w:eastAsia="ko-KR"/>
        </w:rPr>
        <w:t>Discussion on propagation delay compensation enhancements</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B057AD">
      <w:pPr>
        <w:pStyle w:val="1"/>
      </w:pPr>
      <w:r w:rsidRPr="003637FD">
        <w:rPr>
          <w:rFonts w:hint="eastAsia"/>
        </w:rPr>
        <w:t>Introduction</w:t>
      </w:r>
    </w:p>
    <w:p w:rsidR="00EF588E" w:rsidRDefault="00EF588E" w:rsidP="00EF588E">
      <w:pPr>
        <w:pStyle w:val="Doc"/>
      </w:pPr>
      <w:r>
        <w:rPr>
          <w:rFonts w:hint="eastAsia"/>
        </w:rPr>
        <w:t xml:space="preserve">In the last e-meeting, </w:t>
      </w:r>
      <w:r>
        <w:t>following</w:t>
      </w:r>
      <w:r>
        <w:rPr>
          <w:rFonts w:hint="eastAsia"/>
        </w:rPr>
        <w:t xml:space="preserve"> </w:t>
      </w:r>
      <w:r>
        <w:t>agreement was made [1]:</w:t>
      </w:r>
    </w:p>
    <w:tbl>
      <w:tblPr>
        <w:tblStyle w:val="a6"/>
        <w:tblW w:w="9067" w:type="dxa"/>
        <w:jc w:val="center"/>
        <w:tblLook w:val="04A0" w:firstRow="1" w:lastRow="0" w:firstColumn="1" w:lastColumn="0" w:noHBand="0" w:noVBand="1"/>
      </w:tblPr>
      <w:tblGrid>
        <w:gridCol w:w="9067"/>
      </w:tblGrid>
      <w:tr w:rsidR="004F6257" w:rsidRPr="004F6257" w:rsidTr="004F6257">
        <w:trPr>
          <w:jc w:val="center"/>
        </w:trPr>
        <w:tc>
          <w:tcPr>
            <w:tcW w:w="9067" w:type="dxa"/>
          </w:tcPr>
          <w:p w:rsidR="00EF588E" w:rsidRPr="00DD75B8" w:rsidRDefault="00EF588E" w:rsidP="00EF588E">
            <w:pPr>
              <w:pStyle w:val="agreementHEAD"/>
              <w:rPr>
                <w:highlight w:val="green"/>
              </w:rPr>
            </w:pPr>
            <w:r w:rsidRPr="00DD75B8">
              <w:rPr>
                <w:highlight w:val="green"/>
              </w:rPr>
              <w:t>Agreements:</w:t>
            </w:r>
          </w:p>
          <w:p w:rsidR="007E7DE8" w:rsidRPr="00A13A17" w:rsidRDefault="007E7DE8" w:rsidP="007E7DE8">
            <w:pPr>
              <w:numPr>
                <w:ilvl w:val="0"/>
                <w:numId w:val="23"/>
              </w:numPr>
              <w:spacing w:before="0" w:after="0" w:line="240" w:lineRule="auto"/>
              <w:jc w:val="left"/>
            </w:pPr>
            <w:r w:rsidRPr="00A13A17">
              <w:t xml:space="preserve">Take the following use cases as the representative use cases for further study on propagation delay compensation enhancements in Rel-17. </w:t>
            </w:r>
          </w:p>
          <w:tbl>
            <w:tblPr>
              <w:tblW w:w="5000" w:type="pct"/>
              <w:tblCellMar>
                <w:left w:w="0" w:type="dxa"/>
                <w:right w:w="0" w:type="dxa"/>
              </w:tblCellMar>
              <w:tblLook w:val="04A0" w:firstRow="1" w:lastRow="0" w:firstColumn="1" w:lastColumn="0" w:noHBand="0" w:noVBand="1"/>
            </w:tblPr>
            <w:tblGrid>
              <w:gridCol w:w="1592"/>
              <w:gridCol w:w="2096"/>
              <w:gridCol w:w="1842"/>
              <w:gridCol w:w="1153"/>
              <w:gridCol w:w="2148"/>
            </w:tblGrid>
            <w:tr w:rsidR="007E7DE8" w:rsidTr="007E7DE8">
              <w:trPr>
                <w:trHeight w:val="112"/>
              </w:trPr>
              <w:tc>
                <w:tcPr>
                  <w:tcW w:w="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keepNext/>
                    <w:spacing w:before="0" w:after="0" w:line="180" w:lineRule="exact"/>
                    <w:ind w:left="0" w:firstLine="0"/>
                    <w:jc w:val="center"/>
                    <w:rPr>
                      <w:b/>
                      <w:bCs/>
                      <w:sz w:val="18"/>
                      <w:szCs w:val="18"/>
                    </w:rPr>
                  </w:pPr>
                  <w:r w:rsidRPr="007E7DE8">
                    <w:rPr>
                      <w:b/>
                      <w:bCs/>
                      <w:sz w:val="18"/>
                      <w:szCs w:val="18"/>
                    </w:rPr>
                    <w:t xml:space="preserve">User-specific clock synchronicity accuracy level </w:t>
                  </w:r>
                </w:p>
              </w:tc>
              <w:tc>
                <w:tcPr>
                  <w:tcW w:w="11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keepNext/>
                    <w:spacing w:before="0" w:after="0" w:line="180" w:lineRule="exact"/>
                    <w:ind w:left="0" w:firstLine="0"/>
                    <w:rPr>
                      <w:b/>
                      <w:bCs/>
                      <w:sz w:val="18"/>
                      <w:szCs w:val="18"/>
                    </w:rPr>
                  </w:pPr>
                  <w:r w:rsidRPr="007E7DE8">
                    <w:rPr>
                      <w:b/>
                      <w:bCs/>
                      <w:sz w:val="18"/>
                      <w:szCs w:val="18"/>
                    </w:rPr>
                    <w:t>Number of devices in one Communication group for clock synchronisation</w:t>
                  </w:r>
                </w:p>
              </w:tc>
              <w:tc>
                <w:tcPr>
                  <w:tcW w:w="10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keepNext/>
                    <w:spacing w:before="0" w:after="0" w:line="180" w:lineRule="exact"/>
                    <w:ind w:left="0" w:firstLine="0"/>
                    <w:jc w:val="center"/>
                    <w:rPr>
                      <w:b/>
                      <w:bCs/>
                      <w:sz w:val="18"/>
                      <w:szCs w:val="18"/>
                    </w:rPr>
                  </w:pPr>
                  <w:r w:rsidRPr="007E7DE8">
                    <w:rPr>
                      <w:b/>
                      <w:bCs/>
                      <w:sz w:val="18"/>
                      <w:szCs w:val="18"/>
                    </w:rPr>
                    <w:t>5GS synchronicity budget requirement  (note)</w:t>
                  </w:r>
                </w:p>
              </w:tc>
              <w:tc>
                <w:tcPr>
                  <w:tcW w:w="6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keepNext/>
                    <w:spacing w:before="0" w:after="0" w:line="180" w:lineRule="exact"/>
                    <w:ind w:left="0" w:firstLine="0"/>
                    <w:jc w:val="center"/>
                    <w:rPr>
                      <w:b/>
                      <w:bCs/>
                      <w:sz w:val="18"/>
                      <w:szCs w:val="18"/>
                    </w:rPr>
                  </w:pPr>
                  <w:r w:rsidRPr="007E7DE8">
                    <w:rPr>
                      <w:b/>
                      <w:bCs/>
                      <w:sz w:val="18"/>
                      <w:szCs w:val="18"/>
                    </w:rPr>
                    <w:t xml:space="preserve">Service area </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keepNext/>
                    <w:spacing w:before="0" w:after="0" w:line="180" w:lineRule="exact"/>
                    <w:ind w:left="0" w:firstLine="0"/>
                    <w:jc w:val="center"/>
                    <w:rPr>
                      <w:b/>
                      <w:bCs/>
                      <w:sz w:val="18"/>
                      <w:szCs w:val="18"/>
                    </w:rPr>
                  </w:pPr>
                  <w:r w:rsidRPr="007E7DE8">
                    <w:rPr>
                      <w:b/>
                      <w:bCs/>
                      <w:sz w:val="18"/>
                      <w:szCs w:val="18"/>
                    </w:rPr>
                    <w:t>Scenario</w:t>
                  </w:r>
                </w:p>
              </w:tc>
            </w:tr>
            <w:tr w:rsidR="007E7DE8" w:rsidTr="007E7DE8">
              <w:trPr>
                <w:trHeight w:val="114"/>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2</w:t>
                  </w:r>
                </w:p>
              </w:tc>
              <w:tc>
                <w:tcPr>
                  <w:tcW w:w="1187"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Up to 300 UEs</w:t>
                  </w:r>
                </w:p>
              </w:tc>
              <w:tc>
                <w:tcPr>
                  <w:tcW w:w="1043"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≤900 ns</w:t>
                  </w:r>
                </w:p>
              </w:tc>
              <w:tc>
                <w:tcPr>
                  <w:tcW w:w="653"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 1000 m x 100 m</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Control-to-control communication for industrial controller</w:t>
                  </w:r>
                </w:p>
              </w:tc>
            </w:tr>
            <w:tr w:rsidR="007E7DE8" w:rsidTr="007E7DE8">
              <w:trPr>
                <w:trHeight w:val="112"/>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4</w:t>
                  </w:r>
                </w:p>
              </w:tc>
              <w:tc>
                <w:tcPr>
                  <w:tcW w:w="1187"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Up to 100 UEs</w:t>
                  </w:r>
                </w:p>
              </w:tc>
              <w:tc>
                <w:tcPr>
                  <w:tcW w:w="1043"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&lt;1  µs</w:t>
                  </w:r>
                </w:p>
              </w:tc>
              <w:tc>
                <w:tcPr>
                  <w:tcW w:w="653"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color w:val="000000"/>
                      <w:sz w:val="16"/>
                    </w:rPr>
                  </w:pPr>
                  <w:r w:rsidRPr="007E7DE8">
                    <w:rPr>
                      <w:color w:val="000000"/>
                      <w:sz w:val="16"/>
                    </w:rPr>
                    <w:t>&lt; 20 km</w:t>
                  </w:r>
                  <w:r w:rsidRPr="007E7DE8">
                    <w:rPr>
                      <w:color w:val="000000"/>
                      <w:sz w:val="16"/>
                      <w:vertAlign w:val="superscript"/>
                    </w:rPr>
                    <w:t>2</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rsidR="007E7DE8" w:rsidRPr="007E7DE8" w:rsidRDefault="007E7DE8" w:rsidP="007E7DE8">
                  <w:pPr>
                    <w:ind w:left="0" w:firstLine="0"/>
                    <w:jc w:val="center"/>
                    <w:rPr>
                      <w:sz w:val="16"/>
                    </w:rPr>
                  </w:pPr>
                  <w:r w:rsidRPr="007E7DE8">
                    <w:rPr>
                      <w:sz w:val="16"/>
                    </w:rPr>
                    <w:t>Smart Grid: synchronicity between PMUs</w:t>
                  </w:r>
                </w:p>
              </w:tc>
            </w:tr>
          </w:tbl>
          <w:p w:rsidR="007E7DE8" w:rsidRDefault="007E7DE8" w:rsidP="007E7DE8">
            <w:pPr>
              <w:pStyle w:val="agreementHEAD"/>
              <w:rPr>
                <w:highlight w:val="green"/>
              </w:rPr>
            </w:pPr>
          </w:p>
          <w:p w:rsidR="007E7DE8" w:rsidRDefault="007E7DE8" w:rsidP="007E7DE8">
            <w:pPr>
              <w:pStyle w:val="agreementHEAD"/>
            </w:pPr>
            <w:r w:rsidRPr="00A13A17">
              <w:rPr>
                <w:highlight w:val="green"/>
              </w:rPr>
              <w:t>Agreements</w:t>
            </w:r>
            <w:r>
              <w:t>:</w:t>
            </w:r>
          </w:p>
          <w:p w:rsidR="007E7DE8" w:rsidRDefault="007E7DE8" w:rsidP="007E7DE8">
            <w:pPr>
              <w:numPr>
                <w:ilvl w:val="0"/>
                <w:numId w:val="23"/>
              </w:numPr>
              <w:autoSpaceDE w:val="0"/>
              <w:autoSpaceDN w:val="0"/>
              <w:snapToGrid w:val="0"/>
              <w:spacing w:before="0" w:after="120" w:line="240" w:lineRule="auto"/>
              <w:jc w:val="left"/>
              <w:rPr>
                <w:iCs/>
              </w:rPr>
            </w:pPr>
            <w:r w:rsidRPr="00A13A17">
              <w:rPr>
                <w:iCs/>
              </w:rPr>
              <w:fldChar w:fldCharType="begin"/>
            </w:r>
            <w:r w:rsidRPr="00A13A17">
              <w:rPr>
                <w:iCs/>
              </w:rPr>
              <w:instrText xml:space="preserve"> QUOTE </w:instrText>
            </w:r>
            <m:oMath>
              <m:r>
                <m:rPr>
                  <m:sty m:val="p"/>
                </m:rPr>
                <w:rPr>
                  <w:rFonts w:ascii="Cambria Math" w:hAnsi="Cambria Math"/>
                  <w:sz w:val="22"/>
                  <w:szCs w:val="22"/>
                </w:rPr>
                <m:t>± 8∙64∙</m:t>
              </m:r>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r>
                <m:rPr>
                  <m:sty m:val="p"/>
                </m:rPr>
                <w:rPr>
                  <w:rFonts w:ascii="Cambria Math" w:hAnsi="Cambria Math"/>
                  <w:sz w:val="22"/>
                  <w:szCs w:val="22"/>
                </w:rPr>
                <m:t>/</m:t>
              </m:r>
              <m:sSup>
                <m:sSupPr>
                  <m:ctrlPr>
                    <w:rPr>
                      <w:rFonts w:ascii="Cambria Math" w:hAnsi="Cambria Math"/>
                      <w:i/>
                      <w:iCs/>
                      <w:sz w:val="22"/>
                      <w:szCs w:val="22"/>
                    </w:rPr>
                  </m:ctrlPr>
                </m:sSupPr>
                <m:e>
                  <m:r>
                    <m:rPr>
                      <m:sty m:val="p"/>
                    </m:rPr>
                    <w:rPr>
                      <w:rFonts w:ascii="Cambria Math" w:hAnsi="Cambria Math"/>
                      <w:sz w:val="22"/>
                      <w:szCs w:val="22"/>
                    </w:rPr>
                    <m:t>2</m:t>
                  </m:r>
                </m:e>
                <m:sup>
                  <m:r>
                    <m:rPr>
                      <m:sty m:val="p"/>
                    </m:rPr>
                    <w:rPr>
                      <w:rFonts w:ascii="Cambria Math" w:hAnsi="Cambria Math"/>
                      <w:sz w:val="22"/>
                      <w:szCs w:val="22"/>
                    </w:rPr>
                    <m:t>μ</m:t>
                  </m:r>
                </m:sup>
              </m:sSup>
            </m:oMath>
            <w:r w:rsidRPr="00A13A17">
              <w:rPr>
                <w:iCs/>
              </w:rPr>
              <w:instrText xml:space="preserve"> </w:instrText>
            </w:r>
            <w:r w:rsidRPr="00A13A17">
              <w:rPr>
                <w:iCs/>
              </w:rPr>
              <w:fldChar w:fldCharType="end"/>
            </w:r>
            <w:r w:rsidRPr="00A13A17">
              <w:rPr>
                <w:iCs/>
              </w:rPr>
              <w:sym w:font="Symbol" w:char="F0B1"/>
            </w:r>
            <w:r w:rsidRPr="00A13A17">
              <w:rPr>
                <w:iCs/>
              </w:rPr>
              <w:t>8*64*T</w:t>
            </w:r>
            <w:r w:rsidRPr="00A13A17">
              <w:rPr>
                <w:iCs/>
                <w:vertAlign w:val="subscript"/>
              </w:rPr>
              <w:t>c</w:t>
            </w:r>
            <w:r w:rsidRPr="00A13A17">
              <w:rPr>
                <w:iCs/>
              </w:rPr>
              <w:t>/2</w:t>
            </w:r>
            <w:r w:rsidRPr="00A13A17">
              <w:rPr>
                <w:iCs/>
                <w:vertAlign w:val="superscript"/>
              </w:rPr>
              <w:sym w:font="Symbol" w:char="F06D"/>
            </w:r>
            <w:r w:rsidRPr="00A13A17">
              <w:rPr>
                <w:iCs/>
              </w:rPr>
              <w:t xml:space="preserve"> as the TA indicating error is assumed in the evaluation.</w:t>
            </w:r>
          </w:p>
          <w:p w:rsidR="007E7DE8" w:rsidRPr="00A13A17" w:rsidRDefault="007E7DE8" w:rsidP="007E7DE8">
            <w:pPr>
              <w:autoSpaceDE w:val="0"/>
              <w:autoSpaceDN w:val="0"/>
              <w:snapToGrid w:val="0"/>
              <w:spacing w:before="0" w:after="120" w:line="240" w:lineRule="auto"/>
              <w:jc w:val="left"/>
              <w:rPr>
                <w:iCs/>
              </w:rPr>
            </w:pPr>
          </w:p>
          <w:p w:rsidR="007E7DE8" w:rsidRPr="004859CB" w:rsidRDefault="007E7DE8" w:rsidP="007E7DE8">
            <w:pPr>
              <w:pStyle w:val="agreementHEAD"/>
            </w:pPr>
            <w:r w:rsidRPr="004859CB">
              <w:rPr>
                <w:highlight w:val="green"/>
              </w:rPr>
              <w:t>Agreements</w:t>
            </w:r>
            <w:r w:rsidRPr="004859CB">
              <w:t>:</w:t>
            </w:r>
          </w:p>
          <w:p w:rsidR="007E7DE8" w:rsidRPr="004859CB" w:rsidRDefault="007E7DE8" w:rsidP="007E7DE8">
            <w:pPr>
              <w:autoSpaceDE w:val="0"/>
              <w:autoSpaceDN w:val="0"/>
              <w:snapToGrid w:val="0"/>
              <w:spacing w:after="120"/>
            </w:pPr>
            <w:r w:rsidRPr="004859CB">
              <w:rPr>
                <w:color w:val="000000"/>
              </w:rPr>
              <w:t xml:space="preserve">For 5GS synchronicity budget requirement, </w:t>
            </w:r>
          </w:p>
          <w:p w:rsidR="007E7DE8" w:rsidRPr="004859CB" w:rsidRDefault="007E7DE8" w:rsidP="007E7DE8">
            <w:pPr>
              <w:numPr>
                <w:ilvl w:val="0"/>
                <w:numId w:val="24"/>
              </w:numPr>
              <w:autoSpaceDE w:val="0"/>
              <w:autoSpaceDN w:val="0"/>
              <w:snapToGrid w:val="0"/>
              <w:spacing w:before="0" w:after="120" w:line="252" w:lineRule="auto"/>
              <w:contextualSpacing/>
              <w:jc w:val="left"/>
            </w:pPr>
            <w:r w:rsidRPr="004859CB">
              <w:t xml:space="preserve">One Uu interface is assumed for smart grid. </w:t>
            </w:r>
          </w:p>
          <w:p w:rsidR="007E7DE8" w:rsidRPr="004859CB" w:rsidRDefault="007E7DE8" w:rsidP="007E7DE8">
            <w:pPr>
              <w:numPr>
                <w:ilvl w:val="0"/>
                <w:numId w:val="24"/>
              </w:numPr>
              <w:autoSpaceDE w:val="0"/>
              <w:autoSpaceDN w:val="0"/>
              <w:snapToGrid w:val="0"/>
              <w:spacing w:before="0" w:after="120" w:line="252" w:lineRule="auto"/>
              <w:contextualSpacing/>
              <w:jc w:val="left"/>
              <w:rPr>
                <w:color w:val="1F497D"/>
                <w:szCs w:val="21"/>
              </w:rPr>
            </w:pPr>
            <w:r w:rsidRPr="004859CB">
              <w:t>Two Uu interfaces are assumed for control-to-control.</w:t>
            </w:r>
          </w:p>
          <w:p w:rsidR="007E7DE8" w:rsidRDefault="007E7DE8" w:rsidP="007E7DE8">
            <w:pPr>
              <w:pStyle w:val="agreementHEAD"/>
              <w:rPr>
                <w:highlight w:val="green"/>
              </w:rPr>
            </w:pPr>
          </w:p>
          <w:p w:rsidR="007E7DE8" w:rsidRPr="004859CB" w:rsidRDefault="007E7DE8" w:rsidP="007E7DE8">
            <w:pPr>
              <w:pStyle w:val="agreementHEAD"/>
            </w:pPr>
            <w:r w:rsidRPr="004859CB">
              <w:rPr>
                <w:highlight w:val="green"/>
              </w:rPr>
              <w:t>Agreements</w:t>
            </w:r>
            <w:r w:rsidRPr="004859CB">
              <w:t>:</w:t>
            </w:r>
          </w:p>
          <w:p w:rsidR="007E7DE8" w:rsidRPr="004859CB" w:rsidRDefault="007E7DE8" w:rsidP="007E7DE8">
            <w:pPr>
              <w:autoSpaceDE w:val="0"/>
              <w:autoSpaceDN w:val="0"/>
              <w:snapToGrid w:val="0"/>
              <w:spacing w:after="120"/>
            </w:pPr>
            <w:r w:rsidRPr="004859CB">
              <w:rPr>
                <w:color w:val="000000"/>
              </w:rPr>
              <w:t xml:space="preserve">For BS transmit timing error, further study the following three options: </w:t>
            </w:r>
          </w:p>
          <w:p w:rsidR="007E7DE8" w:rsidRPr="004859CB" w:rsidRDefault="007E7DE8" w:rsidP="007E7DE8">
            <w:pPr>
              <w:numPr>
                <w:ilvl w:val="0"/>
                <w:numId w:val="24"/>
              </w:numPr>
              <w:autoSpaceDE w:val="0"/>
              <w:autoSpaceDN w:val="0"/>
              <w:snapToGrid w:val="0"/>
              <w:spacing w:before="0" w:after="120" w:line="252" w:lineRule="auto"/>
              <w:contextualSpacing/>
              <w:jc w:val="left"/>
            </w:pPr>
            <w:r w:rsidRPr="004859CB">
              <w:rPr>
                <w:b/>
                <w:bCs/>
              </w:rPr>
              <w:t>Option 1</w:t>
            </w:r>
            <w:r w:rsidRPr="004859CB">
              <w:t>:</w:t>
            </w:r>
            <w:r w:rsidRPr="004859CB">
              <w:rPr>
                <w:b/>
                <w:bCs/>
                <w:color w:val="000000"/>
              </w:rPr>
              <w:t xml:space="preserve"> </w:t>
            </w:r>
            <w:r w:rsidRPr="004859CB">
              <w:rPr>
                <w:color w:val="000000"/>
              </w:rPr>
              <w:t>65 ns</w:t>
            </w:r>
            <w:r w:rsidRPr="004859CB">
              <w:t xml:space="preserve"> </w:t>
            </w:r>
          </w:p>
          <w:p w:rsidR="007E7DE8" w:rsidRPr="004859CB" w:rsidRDefault="007E7DE8" w:rsidP="007E7DE8">
            <w:pPr>
              <w:numPr>
                <w:ilvl w:val="0"/>
                <w:numId w:val="24"/>
              </w:numPr>
              <w:autoSpaceDE w:val="0"/>
              <w:autoSpaceDN w:val="0"/>
              <w:snapToGrid w:val="0"/>
              <w:spacing w:before="0" w:after="120" w:line="252" w:lineRule="auto"/>
              <w:contextualSpacing/>
              <w:jc w:val="left"/>
            </w:pPr>
            <w:r w:rsidRPr="004859CB">
              <w:rPr>
                <w:b/>
                <w:bCs/>
              </w:rPr>
              <w:t>Option 2</w:t>
            </w:r>
            <w:r w:rsidRPr="004859CB">
              <w:t>:±130ns for the indoor scenario and ±200ns for the smart grid scenario</w:t>
            </w:r>
          </w:p>
          <w:p w:rsidR="007E7DE8" w:rsidRPr="004859CB" w:rsidRDefault="007E7DE8" w:rsidP="007E7DE8">
            <w:pPr>
              <w:numPr>
                <w:ilvl w:val="0"/>
                <w:numId w:val="24"/>
              </w:numPr>
              <w:autoSpaceDE w:val="0"/>
              <w:autoSpaceDN w:val="0"/>
              <w:snapToGrid w:val="0"/>
              <w:spacing w:before="0" w:after="120" w:line="252" w:lineRule="auto"/>
              <w:contextualSpacing/>
              <w:jc w:val="left"/>
            </w:pPr>
            <w:r w:rsidRPr="004859CB">
              <w:rPr>
                <w:b/>
                <w:bCs/>
              </w:rPr>
              <w:t>Option 3</w:t>
            </w:r>
            <w:r w:rsidRPr="004859CB">
              <w:t xml:space="preserve">:82.5 </w:t>
            </w:r>
            <w:r w:rsidRPr="004859CB">
              <w:rPr>
                <w:color w:val="000000"/>
              </w:rPr>
              <w:t>ns</w:t>
            </w:r>
          </w:p>
          <w:p w:rsidR="007E7DE8" w:rsidRDefault="007E7DE8" w:rsidP="007E7DE8">
            <w:pPr>
              <w:pStyle w:val="agreementHEAD"/>
              <w:rPr>
                <w:highlight w:val="green"/>
              </w:rPr>
            </w:pPr>
          </w:p>
          <w:p w:rsidR="007E7DE8" w:rsidRPr="004859CB" w:rsidRDefault="007E7DE8" w:rsidP="007E7DE8">
            <w:pPr>
              <w:pStyle w:val="agreementHEAD"/>
            </w:pPr>
            <w:r w:rsidRPr="004859CB">
              <w:rPr>
                <w:highlight w:val="green"/>
              </w:rPr>
              <w:t>Agreements</w:t>
            </w:r>
            <w:r w:rsidRPr="004859CB">
              <w:t>:</w:t>
            </w:r>
          </w:p>
          <w:p w:rsidR="007E7DE8" w:rsidRPr="004859CB" w:rsidRDefault="007E7DE8" w:rsidP="007E7DE8">
            <w:pPr>
              <w:rPr>
                <w:color w:val="1F497D"/>
              </w:rPr>
            </w:pPr>
            <w:r w:rsidRPr="004859CB">
              <w:rPr>
                <w:color w:val="000000"/>
              </w:rPr>
              <w:t xml:space="preserve">The value defined in Table 7.1.2-1 for initial transmit timing error (Te) in TS 38.133 should be considered for evaluation of the time synchronization.  </w:t>
            </w:r>
          </w:p>
          <w:p w:rsidR="007E7DE8" w:rsidRDefault="007E7DE8" w:rsidP="007E7DE8">
            <w:pPr>
              <w:pStyle w:val="agreementHEAD"/>
              <w:rPr>
                <w:highlight w:val="green"/>
              </w:rPr>
            </w:pPr>
          </w:p>
          <w:p w:rsidR="007E7DE8" w:rsidRPr="00D16AD6" w:rsidRDefault="007E7DE8" w:rsidP="007E7DE8">
            <w:pPr>
              <w:pStyle w:val="agreementHEAD"/>
              <w:rPr>
                <w:highlight w:val="green"/>
              </w:rPr>
            </w:pPr>
            <w:r w:rsidRPr="00D16AD6">
              <w:rPr>
                <w:highlight w:val="green"/>
              </w:rPr>
              <w:t>Agreements:</w:t>
            </w:r>
          </w:p>
          <w:p w:rsidR="007E7DE8" w:rsidRPr="00D16AD6" w:rsidRDefault="007E7DE8" w:rsidP="007E7DE8">
            <w:pPr>
              <w:autoSpaceDE w:val="0"/>
              <w:autoSpaceDN w:val="0"/>
              <w:snapToGrid w:val="0"/>
              <w:spacing w:after="120"/>
            </w:pPr>
            <w:r w:rsidRPr="00D16AD6">
              <w:lastRenderedPageBreak/>
              <w:t xml:space="preserve">The following options for propagation delay compensation are further studied in RAN1  </w:t>
            </w:r>
          </w:p>
          <w:p w:rsidR="007E7DE8" w:rsidRPr="00D16AD6" w:rsidRDefault="007E7DE8" w:rsidP="007E7DE8">
            <w:pPr>
              <w:numPr>
                <w:ilvl w:val="0"/>
                <w:numId w:val="25"/>
              </w:numPr>
              <w:autoSpaceDE w:val="0"/>
              <w:autoSpaceDN w:val="0"/>
              <w:snapToGrid w:val="0"/>
              <w:spacing w:before="0" w:after="120" w:line="240" w:lineRule="auto"/>
              <w:contextualSpacing/>
            </w:pPr>
            <w:r w:rsidRPr="00D16AD6">
              <w:rPr>
                <w:b/>
                <w:bCs/>
              </w:rPr>
              <w:t>Option 1</w:t>
            </w:r>
            <w:r w:rsidRPr="00D16AD6">
              <w:t>: TA-based propagation delay</w:t>
            </w:r>
          </w:p>
          <w:p w:rsidR="007E7DE8" w:rsidRPr="00D16AD6" w:rsidRDefault="007E7DE8" w:rsidP="007E7DE8">
            <w:pPr>
              <w:numPr>
                <w:ilvl w:val="1"/>
                <w:numId w:val="25"/>
              </w:numPr>
              <w:autoSpaceDE w:val="0"/>
              <w:autoSpaceDN w:val="0"/>
              <w:snapToGrid w:val="0"/>
              <w:spacing w:beforeLines="50" w:before="180" w:after="240" w:line="240" w:lineRule="auto"/>
              <w:ind w:left="2154" w:hanging="357"/>
              <w:contextualSpacing/>
            </w:pPr>
            <w:r w:rsidRPr="00D16AD6">
              <w:rPr>
                <w:b/>
                <w:bCs/>
              </w:rPr>
              <w:t>Option 1a</w:t>
            </w:r>
            <w:r w:rsidRPr="00D16AD6">
              <w:t>: Propagation delay estimation based on legacy Timing advance (potentially with enhanced TA indication granularity).</w:t>
            </w:r>
          </w:p>
          <w:p w:rsidR="007E7DE8" w:rsidRPr="00D16AD6" w:rsidRDefault="007E7DE8" w:rsidP="007E7DE8">
            <w:pPr>
              <w:numPr>
                <w:ilvl w:val="1"/>
                <w:numId w:val="25"/>
              </w:numPr>
              <w:autoSpaceDE w:val="0"/>
              <w:autoSpaceDN w:val="0"/>
              <w:snapToGrid w:val="0"/>
              <w:spacing w:beforeLines="50" w:before="180" w:after="120" w:line="240" w:lineRule="auto"/>
              <w:ind w:left="2160"/>
              <w:contextualSpacing/>
            </w:pPr>
            <w:r w:rsidRPr="00D16AD6">
              <w:rPr>
                <w:b/>
                <w:bCs/>
              </w:rPr>
              <w:t>Option 1b</w:t>
            </w:r>
            <w:r w:rsidRPr="00D16AD6">
              <w:t>: Propagation delay estimation based on timing advanced enhanced for time synchronization (as 1a but with updated RAN4 requirements to TA adjustment error and Te)</w:t>
            </w:r>
          </w:p>
          <w:p w:rsidR="007E7DE8" w:rsidRPr="00D16AD6" w:rsidRDefault="007E7DE8" w:rsidP="007E7DE8">
            <w:pPr>
              <w:numPr>
                <w:ilvl w:val="1"/>
                <w:numId w:val="25"/>
              </w:numPr>
              <w:autoSpaceDE w:val="0"/>
              <w:autoSpaceDN w:val="0"/>
              <w:snapToGrid w:val="0"/>
              <w:spacing w:beforeLines="50" w:before="180" w:after="120" w:line="240" w:lineRule="auto"/>
              <w:ind w:left="2160"/>
              <w:contextualSpacing/>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rsidR="007E7DE8" w:rsidRPr="007E7DE8" w:rsidRDefault="007E7DE8" w:rsidP="007E7DE8">
            <w:pPr>
              <w:autoSpaceDE w:val="0"/>
              <w:autoSpaceDN w:val="0"/>
              <w:snapToGrid w:val="0"/>
              <w:spacing w:beforeLines="50" w:before="180" w:after="120"/>
              <w:ind w:left="2160"/>
              <w:contextualSpacing/>
            </w:pPr>
          </w:p>
          <w:p w:rsidR="007E7DE8" w:rsidRPr="00D16AD6" w:rsidRDefault="007E7DE8" w:rsidP="007E7DE8">
            <w:pPr>
              <w:numPr>
                <w:ilvl w:val="0"/>
                <w:numId w:val="25"/>
              </w:numPr>
              <w:autoSpaceDE w:val="0"/>
              <w:autoSpaceDN w:val="0"/>
              <w:snapToGrid w:val="0"/>
              <w:spacing w:before="0" w:after="120" w:line="240" w:lineRule="auto"/>
              <w:ind w:left="714" w:hanging="357"/>
              <w:contextualSpacing/>
            </w:pPr>
            <w:r w:rsidRPr="00D16AD6">
              <w:rPr>
                <w:b/>
                <w:bCs/>
              </w:rPr>
              <w:t>Option 2</w:t>
            </w:r>
            <w:r w:rsidRPr="00D16AD6">
              <w:t>: RTT based delay compensation:</w:t>
            </w:r>
          </w:p>
          <w:p w:rsidR="007E7DE8" w:rsidRPr="00D16AD6" w:rsidRDefault="007E7DE8" w:rsidP="007E7DE8">
            <w:pPr>
              <w:numPr>
                <w:ilvl w:val="1"/>
                <w:numId w:val="25"/>
              </w:numPr>
              <w:autoSpaceDE w:val="0"/>
              <w:autoSpaceDN w:val="0"/>
              <w:snapToGrid w:val="0"/>
              <w:spacing w:beforeLines="50" w:before="180" w:after="120" w:line="240" w:lineRule="auto"/>
              <w:ind w:left="2160"/>
              <w:contextualSpacing/>
            </w:pPr>
            <w:r w:rsidRPr="00D16AD6">
              <w:t xml:space="preserve">Propagation delay estimation based on an RAN managed Rx-Tx procedure intended for time synchronization (FFS to expand or separate procedure/signaling to positioning). </w:t>
            </w:r>
          </w:p>
          <w:p w:rsidR="007E7DE8" w:rsidRPr="00994829" w:rsidRDefault="007E7DE8" w:rsidP="007E7DE8">
            <w:pPr>
              <w:pStyle w:val="bullet"/>
              <w:numPr>
                <w:ilvl w:val="0"/>
                <w:numId w:val="0"/>
              </w:numPr>
              <w:ind w:left="720" w:hanging="360"/>
              <w:rPr>
                <w:rFonts w:eastAsia="맑은 고딕"/>
                <w:bCs/>
                <w:sz w:val="21"/>
                <w:szCs w:val="21"/>
                <w:lang w:val="en-US" w:eastAsia="en-GB"/>
              </w:rPr>
            </w:pPr>
          </w:p>
        </w:tc>
      </w:tr>
    </w:tbl>
    <w:p w:rsidR="00037C1C" w:rsidRDefault="00037C1C" w:rsidP="00037C1C">
      <w:pPr>
        <w:pStyle w:val="Doc"/>
        <w:ind w:firstLineChars="150" w:firstLine="330"/>
      </w:pPr>
      <w:r>
        <w:rPr>
          <w:rFonts w:hint="eastAsia"/>
        </w:rPr>
        <w:lastRenderedPageBreak/>
        <w:t xml:space="preserve">In this contribution, we discuss and </w:t>
      </w:r>
      <w:r>
        <w:t>provide</w:t>
      </w:r>
      <w:r>
        <w:rPr>
          <w:rFonts w:hint="eastAsia"/>
        </w:rPr>
        <w:t xml:space="preserve"> </w:t>
      </w:r>
      <w:r>
        <w:t xml:space="preserve">our views on </w:t>
      </w:r>
      <w:r w:rsidRPr="00037C1C">
        <w:t>propagation delay compensation enhancements</w:t>
      </w:r>
      <w:r>
        <w:t xml:space="preserve"> and necessity of RAN1 involvement. </w:t>
      </w:r>
    </w:p>
    <w:p w:rsidR="00037C1C" w:rsidRPr="00037C1C" w:rsidRDefault="00037C1C" w:rsidP="00037C1C">
      <w:pPr>
        <w:pStyle w:val="Doc"/>
        <w:ind w:firstLineChars="150" w:firstLine="330"/>
      </w:pPr>
    </w:p>
    <w:p w:rsidR="00993C5F" w:rsidRDefault="00A83214" w:rsidP="00F0105D">
      <w:pPr>
        <w:pStyle w:val="1"/>
      </w:pPr>
      <w:r>
        <w:t>Discussion</w:t>
      </w:r>
    </w:p>
    <w:p w:rsidR="007E7DE8" w:rsidRDefault="007E7DE8" w:rsidP="007E7DE8">
      <w:pPr>
        <w:pStyle w:val="1"/>
        <w:numPr>
          <w:ilvl w:val="1"/>
          <w:numId w:val="1"/>
        </w:numPr>
      </w:pPr>
      <w:r>
        <w:t xml:space="preserve">Uu interface budget among </w:t>
      </w:r>
      <w:r w:rsidRPr="007E7DE8">
        <w:t>5GS s</w:t>
      </w:r>
      <w:r>
        <w:t>ynchronicity budget requirement</w:t>
      </w:r>
    </w:p>
    <w:p w:rsidR="00037C1C" w:rsidRDefault="007E7DE8" w:rsidP="00037C1C">
      <w:pPr>
        <w:pStyle w:val="Doc"/>
      </w:pPr>
      <w:r>
        <w:rPr>
          <w:lang w:val="en-GB"/>
        </w:rPr>
        <w:t>I</w:t>
      </w:r>
      <w:r>
        <w:rPr>
          <w:rFonts w:hint="eastAsia"/>
          <w:lang w:val="en-GB"/>
        </w:rPr>
        <w:t xml:space="preserve">n </w:t>
      </w:r>
      <w:r>
        <w:rPr>
          <w:lang w:val="en-GB"/>
        </w:rPr>
        <w:t xml:space="preserve">the </w:t>
      </w:r>
      <w:r w:rsidRPr="007E7DE8">
        <w:rPr>
          <w:lang w:val="en-GB"/>
        </w:rPr>
        <w:t>representa</w:t>
      </w:r>
      <w:r>
        <w:rPr>
          <w:lang w:val="en-GB"/>
        </w:rPr>
        <w:t xml:space="preserve">tive use cases for further study, </w:t>
      </w:r>
      <w:r w:rsidRPr="007E7DE8">
        <w:t>5GS s</w:t>
      </w:r>
      <w:r>
        <w:t>ynchronicity budget is specified. According to [</w:t>
      </w:r>
      <w:r w:rsidR="00813245">
        <w:t>2</w:t>
      </w:r>
      <w:r>
        <w:t>], t</w:t>
      </w:r>
      <w:r w:rsidRPr="007E7DE8">
        <w:t xml:space="preserve">he clock synchronicity requirement refers to the clock synchronicity budget for the 5G system, </w:t>
      </w:r>
      <w:r>
        <w:t xml:space="preserve">not only for Uu interface. In order to investigate the necessity of </w:t>
      </w:r>
      <w:r w:rsidRPr="007E7DE8">
        <w:t>propagation delay compensat</w:t>
      </w:r>
      <w:r>
        <w:t>i</w:t>
      </w:r>
      <w:r w:rsidR="002165AF">
        <w:t xml:space="preserve">on, the synchronicity budget requirement for Uu interface need to be specified. </w:t>
      </w:r>
    </w:p>
    <w:p w:rsidR="002165AF" w:rsidRDefault="00D03C91" w:rsidP="00037C1C">
      <w:pPr>
        <w:pStyle w:val="Doc"/>
        <w:rPr>
          <w:lang w:val="en-GB"/>
        </w:rPr>
      </w:pPr>
      <w:r>
        <w:rPr>
          <w:lang w:val="en-GB"/>
        </w:rPr>
        <w:t>T</w:t>
      </w:r>
      <w:r w:rsidR="002165AF">
        <w:rPr>
          <w:lang w:val="en-GB"/>
        </w:rPr>
        <w:t xml:space="preserve">he </w:t>
      </w:r>
      <w:r w:rsidR="002165AF" w:rsidRPr="007E7DE8">
        <w:rPr>
          <w:lang w:val="en-GB"/>
        </w:rPr>
        <w:t>representa</w:t>
      </w:r>
      <w:r>
        <w:rPr>
          <w:lang w:val="en-GB"/>
        </w:rPr>
        <w:t>tive use case of control-to-control</w:t>
      </w:r>
      <w:r w:rsidR="00DB6FA4">
        <w:rPr>
          <w:lang w:val="en-GB"/>
        </w:rPr>
        <w:t xml:space="preserve"> (CtC)</w:t>
      </w:r>
      <w:r>
        <w:rPr>
          <w:lang w:val="en-GB"/>
        </w:rPr>
        <w:t xml:space="preserve"> communication is assumed to have two Uu interface and the smart grid</w:t>
      </w:r>
      <w:r w:rsidR="00DB6FA4">
        <w:rPr>
          <w:lang w:val="en-GB"/>
        </w:rPr>
        <w:t>(SG)</w:t>
      </w:r>
      <w:r>
        <w:rPr>
          <w:lang w:val="en-GB"/>
        </w:rPr>
        <w:t xml:space="preserve"> scenario has only one Uu interface. Considering networks entities, followings are can be considered. </w:t>
      </w:r>
    </w:p>
    <w:p w:rsidR="00E96579" w:rsidRDefault="00DB6FA4" w:rsidP="00E96579">
      <w:pPr>
        <w:pStyle w:val="Doc"/>
      </w:pPr>
      <w:r>
        <w:rPr>
          <w:rFonts w:hint="eastAsia"/>
          <w:lang w:val="en-GB"/>
        </w:rPr>
        <w:t xml:space="preserve">As Figure 1 shows, </w:t>
      </w:r>
      <w:r>
        <w:rPr>
          <w:lang w:val="en-GB"/>
        </w:rPr>
        <w:t>CtC scenario has a lot of communication end points. There are at least 4 communication interface involving synchronization; tw</w:t>
      </w:r>
      <w:r w:rsidR="00E96579">
        <w:rPr>
          <w:lang w:val="en-GB"/>
        </w:rPr>
        <w:t xml:space="preserve">o Uu interface and two core interface (X2/Xn, S1/NG, and etc.). Therefore, </w:t>
      </w:r>
      <w:r w:rsidR="00E96579" w:rsidRPr="007E7DE8">
        <w:t>s</w:t>
      </w:r>
      <w:r w:rsidR="00E96579">
        <w:t xml:space="preserve">ynchronicity budget of one Uu interface would be half of remaining budget after excluding two </w:t>
      </w:r>
      <w:r w:rsidR="00E96579" w:rsidRPr="007E7DE8">
        <w:t>s</w:t>
      </w:r>
      <w:r w:rsidR="00E96579">
        <w:t xml:space="preserve">ynchronicity budget </w:t>
      </w:r>
      <m:oMath>
        <m:sSub>
          <m:sSubPr>
            <m:ctrlPr>
              <w:rPr>
                <w:rFonts w:ascii="Cambria Math" w:hAnsi="Cambria Math"/>
                <w:i/>
              </w:rPr>
            </m:ctrlPr>
          </m:sSubPr>
          <m:e>
            <m:r>
              <w:rPr>
                <w:rFonts w:ascii="Cambria Math" w:hAnsi="Cambria Math"/>
              </w:rPr>
              <m:t>B</m:t>
            </m:r>
          </m:e>
          <m:sub>
            <m:r>
              <w:rPr>
                <w:rFonts w:ascii="Cambria Math" w:hAnsi="Cambria Math"/>
              </w:rPr>
              <m:t>core</m:t>
            </m:r>
          </m:sub>
        </m:sSub>
      </m:oMath>
      <w:r w:rsidR="00E96579">
        <w:t xml:space="preserve">of core interface. </w:t>
      </w:r>
      <w:r w:rsidR="00850C32">
        <w:t xml:space="preserve">In addition to this, we may need to consider Device </w:t>
      </w:r>
      <w:r w:rsidR="00367ECA">
        <w:rPr>
          <w:rFonts w:hint="eastAsia"/>
        </w:rPr>
        <w:t xml:space="preserve">error </w:t>
      </w:r>
      <m:oMath>
        <m:sSub>
          <m:sSubPr>
            <m:ctrlPr>
              <w:rPr>
                <w:rFonts w:ascii="Cambria Math" w:hAnsi="Cambria Math"/>
              </w:rPr>
            </m:ctrlPr>
          </m:sSubPr>
          <m:e>
            <m:r>
              <m:rPr>
                <m:sty m:val="p"/>
              </m:rPr>
              <w:rPr>
                <w:rFonts w:ascii="Cambria Math" w:hAnsi="Cambria Math"/>
              </w:rPr>
              <m:t>B</m:t>
            </m:r>
          </m:e>
          <m:sub>
            <m:r>
              <w:rPr>
                <w:rFonts w:ascii="Cambria Math" w:hAnsi="Cambria Math"/>
              </w:rPr>
              <m:t>device</m:t>
            </m:r>
          </m:sub>
        </m:sSub>
      </m:oMath>
      <w:r w:rsidR="00850C32">
        <w:t xml:space="preserve"> causing outside of RAN1. </w:t>
      </w:r>
    </w:p>
    <w:p w:rsidR="00E96579" w:rsidRDefault="00E96579" w:rsidP="00E96579">
      <w:pPr>
        <w:pStyle w:val="Doc"/>
      </w:pPr>
      <m:oMathPara>
        <m:oMath>
          <m:r>
            <m:rPr>
              <m:sty m:val="p"/>
            </m:rPr>
            <w:rPr>
              <w:rFonts w:ascii="Cambria Math" w:hAnsi="Cambria Math"/>
            </w:rPr>
            <m:t xml:space="preserve">One Uu interface budget </m:t>
          </m:r>
          <m:sSub>
            <m:sSubPr>
              <m:ctrlPr>
                <w:rPr>
                  <w:rFonts w:ascii="Cambria Math" w:hAnsi="Cambria Math"/>
                </w:rPr>
              </m:ctrlPr>
            </m:sSubPr>
            <m:e>
              <m:r>
                <m:rPr>
                  <m:sty m:val="p"/>
                </m:rPr>
                <w:rPr>
                  <w:rFonts w:ascii="Cambria Math" w:hAnsi="Cambria Math"/>
                </w:rPr>
                <m:t>B</m:t>
              </m:r>
            </m:e>
            <m:sub>
              <m:r>
                <w:rPr>
                  <w:rFonts w:ascii="Cambria Math" w:hAnsi="Cambria Math"/>
                </w:rPr>
                <m:t>Uu</m:t>
              </m:r>
            </m:sub>
          </m:sSub>
          <m:r>
            <m:rPr>
              <m:sty m:val="p"/>
            </m:rPr>
            <w:rPr>
              <w:rFonts w:ascii="Cambria Math" w:hAnsi="Cambria Math"/>
            </w:rPr>
            <m:t xml:space="preserve"> in CtC scenario=</m:t>
          </m:r>
          <m:f>
            <m:fPr>
              <m:ctrlPr>
                <w:rPr>
                  <w:rFonts w:ascii="Cambria Math" w:hAnsi="Cambria Math"/>
                </w:rPr>
              </m:ctrlPr>
            </m:fPr>
            <m:num>
              <m:r>
                <w:rPr>
                  <w:rFonts w:ascii="Cambria Math" w:hAnsi="Cambria Math"/>
                </w:rPr>
                <m:t>900-2*</m:t>
              </m:r>
              <m:sSub>
                <m:sSubPr>
                  <m:ctrlPr>
                    <w:rPr>
                      <w:rFonts w:ascii="Cambria Math" w:hAnsi="Cambria Math"/>
                      <w:i/>
                    </w:rPr>
                  </m:ctrlPr>
                </m:sSubPr>
                <m:e>
                  <m:r>
                    <w:rPr>
                      <w:rFonts w:ascii="Cambria Math" w:hAnsi="Cambria Math"/>
                    </w:rPr>
                    <m:t>B</m:t>
                  </m:r>
                </m:e>
                <m:sub>
                  <m:r>
                    <w:rPr>
                      <w:rFonts w:ascii="Cambria Math" w:hAnsi="Cambria Math"/>
                    </w:rPr>
                    <m:t>core</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w:rPr>
                  <w:rFonts w:ascii="Cambria Math" w:hAnsi="Cambria Math"/>
                </w:rPr>
                <m:t>device</m:t>
              </m:r>
            </m:sub>
          </m:sSub>
        </m:oMath>
      </m:oMathPara>
    </w:p>
    <w:p w:rsidR="00DB6FA4" w:rsidRDefault="00F57A3D" w:rsidP="00DB6FA4">
      <w:pPr>
        <w:pStyle w:val="Doc"/>
        <w:jc w:val="center"/>
        <w:rPr>
          <w:lang w:val="en-GB"/>
        </w:rPr>
      </w:pPr>
      <w:r>
        <w:rPr>
          <w:noProof/>
        </w:rPr>
        <w:lastRenderedPageBreak/>
        <w:drawing>
          <wp:inline distT="0" distB="0" distL="0" distR="0" wp14:anchorId="11A400DE">
            <wp:extent cx="2391537" cy="2633472"/>
            <wp:effectExtent l="0" t="0" r="889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a:extLst>
                        <a:ext uri="{28A0092B-C50C-407E-A947-70E740481C1C}">
                          <a14:useLocalDpi xmlns:a14="http://schemas.microsoft.com/office/drawing/2010/main" val="0"/>
                        </a:ext>
                      </a:extLst>
                    </a:blip>
                    <a:srcRect l="10164" t="3129" r="6763" b="3003"/>
                    <a:stretch/>
                  </pic:blipFill>
                  <pic:spPr bwMode="auto">
                    <a:xfrm>
                      <a:off x="0" y="0"/>
                      <a:ext cx="2392485" cy="2634516"/>
                    </a:xfrm>
                    <a:prstGeom prst="rect">
                      <a:avLst/>
                    </a:prstGeom>
                    <a:noFill/>
                    <a:ln>
                      <a:noFill/>
                    </a:ln>
                    <a:extLst>
                      <a:ext uri="{53640926-AAD7-44D8-BBD7-CCE9431645EC}">
                        <a14:shadowObscured xmlns:a14="http://schemas.microsoft.com/office/drawing/2010/main"/>
                      </a:ext>
                    </a:extLst>
                  </pic:spPr>
                </pic:pic>
              </a:graphicData>
            </a:graphic>
          </wp:inline>
        </w:drawing>
      </w:r>
    </w:p>
    <w:p w:rsidR="00DB6FA4" w:rsidRDefault="00DB6FA4" w:rsidP="00DB6FA4">
      <w:pPr>
        <w:pStyle w:val="Doc"/>
        <w:jc w:val="center"/>
        <w:rPr>
          <w:lang w:val="en-GB"/>
        </w:rPr>
      </w:pPr>
      <w:r>
        <w:rPr>
          <w:rFonts w:hint="eastAsia"/>
          <w:lang w:val="en-GB"/>
        </w:rPr>
        <w:t xml:space="preserve">Figure 1. Illustration of </w:t>
      </w:r>
      <w:r>
        <w:rPr>
          <w:lang w:val="en-GB"/>
        </w:rPr>
        <w:t>control-to-control communication scenario</w:t>
      </w:r>
    </w:p>
    <w:p w:rsidR="00F57A3D" w:rsidRDefault="00F57A3D" w:rsidP="00F57A3D">
      <w:pPr>
        <w:pStyle w:val="Doc"/>
      </w:pPr>
      <w:r>
        <w:rPr>
          <w:rFonts w:hint="eastAsia"/>
          <w:lang w:val="en-GB"/>
        </w:rPr>
        <w:t>In case of smart grid scenario</w:t>
      </w:r>
      <w:r>
        <w:rPr>
          <w:lang w:val="en-GB"/>
        </w:rPr>
        <w:t>, Figure 2</w:t>
      </w:r>
      <w:r>
        <w:rPr>
          <w:rFonts w:hint="eastAsia"/>
          <w:lang w:val="en-GB"/>
        </w:rPr>
        <w:t xml:space="preserve">, it could be one-way </w:t>
      </w:r>
      <w:r>
        <w:rPr>
          <w:lang w:val="en-GB"/>
        </w:rPr>
        <w:t>transmission (Master node informs timing)</w:t>
      </w:r>
      <w:r>
        <w:rPr>
          <w:rFonts w:hint="eastAsia"/>
          <w:lang w:val="en-GB"/>
        </w:rPr>
        <w:t>.</w:t>
      </w:r>
      <w:r>
        <w:rPr>
          <w:lang w:val="en-GB"/>
        </w:rPr>
        <w:t xml:space="preserve"> Given that, there would be at least 4 communication interface involving synchronization; one Uu interface and one core interface. Similarly, we can get Uu interface budget for smart grid scenario. .</w:t>
      </w:r>
      <w:r>
        <w:t xml:space="preserve"> </w:t>
      </w:r>
    </w:p>
    <w:p w:rsidR="00F57A3D" w:rsidRDefault="00F57A3D" w:rsidP="00F57A3D">
      <w:pPr>
        <w:pStyle w:val="Doc"/>
      </w:pPr>
      <m:oMathPara>
        <m:oMath>
          <m:r>
            <m:rPr>
              <m:sty m:val="p"/>
            </m:rPr>
            <w:rPr>
              <w:rFonts w:ascii="Cambria Math" w:hAnsi="Cambria Math"/>
            </w:rPr>
            <m:t xml:space="preserve">One Uu interface budget </m:t>
          </m:r>
          <m:sSub>
            <m:sSubPr>
              <m:ctrlPr>
                <w:rPr>
                  <w:rFonts w:ascii="Cambria Math" w:hAnsi="Cambria Math"/>
                </w:rPr>
              </m:ctrlPr>
            </m:sSubPr>
            <m:e>
              <m:r>
                <m:rPr>
                  <m:sty m:val="p"/>
                </m:rPr>
                <w:rPr>
                  <w:rFonts w:ascii="Cambria Math" w:hAnsi="Cambria Math"/>
                </w:rPr>
                <m:t>B</m:t>
              </m:r>
            </m:e>
            <m:sub>
              <m:r>
                <w:rPr>
                  <w:rFonts w:ascii="Cambria Math" w:hAnsi="Cambria Math"/>
                </w:rPr>
                <m:t>Uu</m:t>
              </m:r>
            </m:sub>
          </m:sSub>
          <m:r>
            <m:rPr>
              <m:sty m:val="p"/>
            </m:rPr>
            <w:rPr>
              <w:rFonts w:ascii="Cambria Math" w:hAnsi="Cambria Math"/>
            </w:rPr>
            <m:t xml:space="preserve"> in SG scenario=1μs-</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core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w:rPr>
                  <w:rFonts w:ascii="Cambria Math" w:hAnsi="Cambria Math"/>
                </w:rPr>
                <m:t>device</m:t>
              </m:r>
            </m:sub>
          </m:sSub>
        </m:oMath>
      </m:oMathPara>
    </w:p>
    <w:p w:rsidR="00DB6FA4" w:rsidRPr="00D03C91" w:rsidRDefault="00F57A3D" w:rsidP="00DB6FA4">
      <w:pPr>
        <w:pStyle w:val="Doc"/>
        <w:jc w:val="center"/>
        <w:rPr>
          <w:lang w:val="en-GB"/>
        </w:rPr>
      </w:pPr>
      <w:r>
        <w:rPr>
          <w:noProof/>
        </w:rPr>
        <w:drawing>
          <wp:inline distT="0" distB="0" distL="0" distR="0" wp14:anchorId="240E0561">
            <wp:extent cx="3334385" cy="1009498"/>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12496" b="5381"/>
                    <a:stretch/>
                  </pic:blipFill>
                  <pic:spPr bwMode="auto">
                    <a:xfrm>
                      <a:off x="0" y="0"/>
                      <a:ext cx="3335732" cy="1009906"/>
                    </a:xfrm>
                    <a:prstGeom prst="rect">
                      <a:avLst/>
                    </a:prstGeom>
                    <a:noFill/>
                    <a:ln>
                      <a:noFill/>
                    </a:ln>
                    <a:extLst>
                      <a:ext uri="{53640926-AAD7-44D8-BBD7-CCE9431645EC}">
                        <a14:shadowObscured xmlns:a14="http://schemas.microsoft.com/office/drawing/2010/main"/>
                      </a:ext>
                    </a:extLst>
                  </pic:spPr>
                </pic:pic>
              </a:graphicData>
            </a:graphic>
          </wp:inline>
        </w:drawing>
      </w:r>
      <w:r w:rsidR="00D03C91">
        <w:rPr>
          <w:lang w:val="en-GB"/>
        </w:rPr>
        <w:br/>
      </w:r>
      <w:r w:rsidR="00DB6FA4">
        <w:rPr>
          <w:rFonts w:hint="eastAsia"/>
          <w:lang w:val="en-GB"/>
        </w:rPr>
        <w:t xml:space="preserve">Figure 2. Illustration of </w:t>
      </w:r>
      <w:r w:rsidR="00DB6FA4">
        <w:rPr>
          <w:lang w:val="en-GB"/>
        </w:rPr>
        <w:t>smart grid communication scenario</w:t>
      </w:r>
    </w:p>
    <w:p w:rsidR="002165AF" w:rsidRPr="00DB6FA4" w:rsidRDefault="002165AF" w:rsidP="00D03C91">
      <w:pPr>
        <w:pStyle w:val="Doc"/>
        <w:jc w:val="center"/>
        <w:rPr>
          <w:lang w:val="en-GB"/>
        </w:rPr>
      </w:pPr>
    </w:p>
    <w:p w:rsidR="00367ECA" w:rsidRDefault="00367ECA" w:rsidP="00037C1C">
      <w:pPr>
        <w:pStyle w:val="Doc"/>
      </w:pPr>
      <w:r>
        <w:rPr>
          <w:rFonts w:hint="eastAsia"/>
        </w:rPr>
        <w:t xml:space="preserve">Core interface error may be various up to network </w:t>
      </w:r>
      <w:r>
        <w:t>architecture</w:t>
      </w:r>
      <w:r>
        <w:rPr>
          <w:rFonts w:hint="eastAsia"/>
        </w:rPr>
        <w:t>.</w:t>
      </w:r>
      <w:r>
        <w:t xml:space="preserve"> </w:t>
      </w:r>
      <w:r w:rsidR="00B237F3">
        <w:t xml:space="preserve">For example, if gNB may perform a role of sync master, it could be minimized. If multiple hops are required between gNB and master node, tens of nano second error would be happened for each hop and network routing device. As an optimistic consideration; the network architecture is dedicated for this service, we assume error budget consumed by core network is 100ns in average sense. </w:t>
      </w:r>
    </w:p>
    <w:p w:rsidR="00D03C91" w:rsidRDefault="00367ECA" w:rsidP="00037C1C">
      <w:pPr>
        <w:pStyle w:val="Doc"/>
        <w:rPr>
          <w:rFonts w:eastAsia="맑은 고딕"/>
          <w:color w:val="171717"/>
        </w:rPr>
      </w:pPr>
      <w:r>
        <w:t xml:space="preserve">Device </w:t>
      </w:r>
      <w:r>
        <w:rPr>
          <w:rFonts w:hint="eastAsia"/>
        </w:rPr>
        <w:t>error</w:t>
      </w:r>
      <w:r>
        <w:t xml:space="preserve"> is</w:t>
      </w:r>
      <w:r>
        <w:rPr>
          <w:rFonts w:eastAsia="맑은 고딕"/>
          <w:color w:val="171717"/>
        </w:rPr>
        <w:t xml:space="preserve"> about synchr</w:t>
      </w:r>
      <w:r w:rsidR="00B237F3">
        <w:rPr>
          <w:rFonts w:eastAsia="맑은 고딕"/>
          <w:color w:val="171717"/>
        </w:rPr>
        <w:t xml:space="preserve">onization error inside a device even without any communications. </w:t>
      </w:r>
      <w:r>
        <w:rPr>
          <w:rFonts w:eastAsia="맑은 고딕"/>
          <w:color w:val="171717"/>
        </w:rPr>
        <w:t xml:space="preserve">If </w:t>
      </w:r>
      <w:r w:rsidR="00B237F3">
        <w:t xml:space="preserve">tens of nano second </w:t>
      </w:r>
      <w:r>
        <w:rPr>
          <w:rFonts w:eastAsia="맑은 고딕"/>
          <w:color w:val="171717"/>
        </w:rPr>
        <w:t>per hop can be assumed for</w:t>
      </w:r>
      <w:r w:rsidR="00B237F3">
        <w:rPr>
          <w:rFonts w:eastAsia="맑은 고딕"/>
          <w:color w:val="171717"/>
        </w:rPr>
        <w:t xml:space="preserve"> network</w:t>
      </w:r>
      <w:r>
        <w:rPr>
          <w:rFonts w:eastAsia="맑은 고딕"/>
          <w:color w:val="171717"/>
        </w:rPr>
        <w:t>, error of device part also can be assumed a</w:t>
      </w:r>
      <w:r w:rsidR="00B237F3">
        <w:rPr>
          <w:rFonts w:eastAsia="맑은 고딕"/>
          <w:color w:val="171717"/>
        </w:rPr>
        <w:t>round 5</w:t>
      </w:r>
      <w:r>
        <w:rPr>
          <w:rFonts w:eastAsia="맑은 고딕"/>
          <w:color w:val="171717"/>
        </w:rPr>
        <w:t xml:space="preserve">0 ns </w:t>
      </w:r>
      <w:r w:rsidR="00B237F3">
        <w:rPr>
          <w:rFonts w:eastAsia="맑은 고딕"/>
          <w:color w:val="171717"/>
        </w:rPr>
        <w:t xml:space="preserve">just </w:t>
      </w:r>
      <w:r>
        <w:rPr>
          <w:rFonts w:eastAsia="맑은 고딕"/>
          <w:color w:val="171717"/>
        </w:rPr>
        <w:t xml:space="preserve">for </w:t>
      </w:r>
      <w:r w:rsidR="00B237F3">
        <w:rPr>
          <w:rFonts w:eastAsia="맑은 고딕"/>
          <w:color w:val="171717"/>
        </w:rPr>
        <w:t>measuring Uu interface budget</w:t>
      </w:r>
      <w:r>
        <w:rPr>
          <w:rFonts w:eastAsia="맑은 고딕"/>
          <w:color w:val="171717"/>
        </w:rPr>
        <w:t>.</w:t>
      </w:r>
    </w:p>
    <w:p w:rsidR="00B237F3" w:rsidRDefault="00B237F3" w:rsidP="00037C1C">
      <w:pPr>
        <w:pStyle w:val="Doc"/>
        <w:rPr>
          <w:rFonts w:eastAsia="맑은 고딕"/>
          <w:color w:val="171717"/>
        </w:rPr>
      </w:pPr>
      <w:r>
        <w:rPr>
          <w:rFonts w:eastAsia="맑은 고딕"/>
          <w:color w:val="171717"/>
        </w:rPr>
        <w:t>With above assumption, roughly derived Uu interface synchronization budget would be following:</w:t>
      </w:r>
    </w:p>
    <w:p w:rsidR="00B237F3" w:rsidRDefault="00B237F3" w:rsidP="00B237F3">
      <w:pPr>
        <w:pStyle w:val="Doc"/>
      </w:pPr>
      <m:oMathPara>
        <m:oMath>
          <m:r>
            <m:rPr>
              <m:sty m:val="p"/>
            </m:rPr>
            <w:rPr>
              <w:rFonts w:ascii="Cambria Math" w:hAnsi="Cambria Math"/>
            </w:rPr>
            <m:t xml:space="preserve">One Uu interface budget </m:t>
          </m:r>
          <m:sSub>
            <m:sSubPr>
              <m:ctrlPr>
                <w:rPr>
                  <w:rFonts w:ascii="Cambria Math" w:hAnsi="Cambria Math"/>
                </w:rPr>
              </m:ctrlPr>
            </m:sSubPr>
            <m:e>
              <m:r>
                <m:rPr>
                  <m:sty m:val="p"/>
                </m:rPr>
                <w:rPr>
                  <w:rFonts w:ascii="Cambria Math" w:hAnsi="Cambria Math"/>
                </w:rPr>
                <m:t>B</m:t>
              </m:r>
            </m:e>
            <m:sub>
              <m:r>
                <w:rPr>
                  <w:rFonts w:ascii="Cambria Math" w:hAnsi="Cambria Math"/>
                </w:rPr>
                <m:t>Uu</m:t>
              </m:r>
            </m:sub>
          </m:sSub>
          <m:r>
            <m:rPr>
              <m:sty m:val="p"/>
            </m:rPr>
            <w:rPr>
              <w:rFonts w:ascii="Cambria Math" w:hAnsi="Cambria Math"/>
            </w:rPr>
            <m:t xml:space="preserve"> in CtC scenario=</m:t>
          </m:r>
          <m:f>
            <m:fPr>
              <m:ctrlPr>
                <w:rPr>
                  <w:rFonts w:ascii="Cambria Math" w:hAnsi="Cambria Math"/>
                </w:rPr>
              </m:ctrlPr>
            </m:fPr>
            <m:num>
              <m:r>
                <w:rPr>
                  <w:rFonts w:ascii="Cambria Math" w:hAnsi="Cambria Math"/>
                </w:rPr>
                <m:t>900-2*</m:t>
              </m:r>
              <m:sSub>
                <m:sSubPr>
                  <m:ctrlPr>
                    <w:rPr>
                      <w:rFonts w:ascii="Cambria Math" w:hAnsi="Cambria Math"/>
                      <w:i/>
                    </w:rPr>
                  </m:ctrlPr>
                </m:sSubPr>
                <m:e>
                  <m:r>
                    <w:rPr>
                      <w:rFonts w:ascii="Cambria Math" w:hAnsi="Cambria Math"/>
                    </w:rPr>
                    <m:t>B</m:t>
                  </m:r>
                </m:e>
                <m:sub>
                  <m:r>
                    <w:rPr>
                      <w:rFonts w:ascii="Cambria Math" w:hAnsi="Cambria Math"/>
                    </w:rPr>
                    <m:t>core</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w:rPr>
                  <w:rFonts w:ascii="Cambria Math" w:hAnsi="Cambria Math"/>
                </w:rPr>
                <m:t>device</m:t>
              </m:r>
            </m:sub>
          </m:sSub>
          <m:r>
            <m:rPr>
              <m:sty m:val="p"/>
            </m:rPr>
            <w:rPr>
              <w:rFonts w:ascii="Cambria Math" w:hAnsi="Cambria Math"/>
            </w:rPr>
            <m:t xml:space="preserve"> ≤350ns</m:t>
          </m:r>
        </m:oMath>
      </m:oMathPara>
    </w:p>
    <w:p w:rsidR="00B237F3" w:rsidRDefault="00B237F3" w:rsidP="00B237F3">
      <w:pPr>
        <w:pStyle w:val="Doc"/>
      </w:pPr>
      <m:oMathPara>
        <m:oMath>
          <m:r>
            <m:rPr>
              <m:sty m:val="p"/>
            </m:rPr>
            <w:rPr>
              <w:rFonts w:ascii="Cambria Math" w:hAnsi="Cambria Math"/>
            </w:rPr>
            <m:t xml:space="preserve">One Uu interface budget </m:t>
          </m:r>
          <m:sSub>
            <m:sSubPr>
              <m:ctrlPr>
                <w:rPr>
                  <w:rFonts w:ascii="Cambria Math" w:hAnsi="Cambria Math"/>
                </w:rPr>
              </m:ctrlPr>
            </m:sSubPr>
            <m:e>
              <m:r>
                <m:rPr>
                  <m:sty m:val="p"/>
                </m:rPr>
                <w:rPr>
                  <w:rFonts w:ascii="Cambria Math" w:hAnsi="Cambria Math"/>
                </w:rPr>
                <m:t>B</m:t>
              </m:r>
            </m:e>
            <m:sub>
              <m:r>
                <w:rPr>
                  <w:rFonts w:ascii="Cambria Math" w:hAnsi="Cambria Math"/>
                </w:rPr>
                <m:t>Uu</m:t>
              </m:r>
            </m:sub>
          </m:sSub>
          <m:r>
            <m:rPr>
              <m:sty m:val="p"/>
            </m:rPr>
            <w:rPr>
              <w:rFonts w:ascii="Cambria Math" w:hAnsi="Cambria Math"/>
            </w:rPr>
            <m:t xml:space="preserve"> in SG scenario=1μs-</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core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w:rPr>
                  <w:rFonts w:ascii="Cambria Math" w:hAnsi="Cambria Math"/>
                </w:rPr>
                <m:t>device</m:t>
              </m:r>
            </m:sub>
          </m:sSub>
          <m:r>
            <m:rPr>
              <m:sty m:val="p"/>
            </m:rPr>
            <w:rPr>
              <w:rFonts w:ascii="Cambria Math" w:hAnsi="Cambria Math"/>
            </w:rPr>
            <m:t xml:space="preserve"> ≤850ns</m:t>
          </m:r>
        </m:oMath>
      </m:oMathPara>
    </w:p>
    <w:p w:rsidR="00B237F3" w:rsidRDefault="00AF7A50" w:rsidP="00037C1C">
      <w:pPr>
        <w:pStyle w:val="Doc"/>
        <w:rPr>
          <w:lang w:val="en-GB"/>
        </w:rPr>
      </w:pPr>
      <w:r>
        <w:rPr>
          <w:lang w:val="en-GB"/>
        </w:rPr>
        <w:lastRenderedPageBreak/>
        <w:t>I</w:t>
      </w:r>
      <w:r>
        <w:rPr>
          <w:rFonts w:hint="eastAsia"/>
          <w:lang w:val="en-GB"/>
        </w:rPr>
        <w:t xml:space="preserve">t </w:t>
      </w:r>
      <w:r>
        <w:rPr>
          <w:lang w:val="en-GB"/>
        </w:rPr>
        <w:t xml:space="preserve">should be note that those derived budget should be upper bound, since those values are derived by optimistic assumption. </w:t>
      </w:r>
    </w:p>
    <w:p w:rsidR="00AF7A50" w:rsidRDefault="00AF7A50" w:rsidP="00037C1C">
      <w:pPr>
        <w:pStyle w:val="Doc"/>
        <w:rPr>
          <w:lang w:val="en-GB"/>
        </w:rPr>
      </w:pPr>
    </w:p>
    <w:p w:rsidR="00AF7A50" w:rsidRDefault="00854213" w:rsidP="00AF7A50">
      <w:pPr>
        <w:pStyle w:val="1"/>
        <w:numPr>
          <w:ilvl w:val="1"/>
          <w:numId w:val="1"/>
        </w:numPr>
      </w:pPr>
      <w:r>
        <w:t>Simple analysis</w:t>
      </w:r>
      <w:r w:rsidR="00AF7A50">
        <w:t xml:space="preserve"> of PD compensation</w:t>
      </w:r>
    </w:p>
    <w:p w:rsidR="00AF7A50" w:rsidRDefault="00AF7A50" w:rsidP="002165AF">
      <w:pPr>
        <w:pStyle w:val="Doc"/>
        <w:rPr>
          <w:lang w:val="en-GB"/>
        </w:rPr>
      </w:pPr>
      <w:r>
        <w:rPr>
          <w:rFonts w:hint="eastAsia"/>
          <w:lang w:val="en-GB"/>
        </w:rPr>
        <w:t xml:space="preserve">If </w:t>
      </w:r>
      <w:r>
        <w:rPr>
          <w:lang w:val="en-GB"/>
        </w:rPr>
        <w:t xml:space="preserve">TSN network doesn’t consider any PD compensation, Uu budget would be dependant by propagation delay and cell radius. </w:t>
      </w:r>
      <w:r w:rsidR="002165AF" w:rsidRPr="002165AF">
        <w:rPr>
          <w:lang w:val="en-GB"/>
        </w:rPr>
        <w:t>For</w:t>
      </w:r>
      <w:r>
        <w:rPr>
          <w:lang w:val="en-GB"/>
        </w:rPr>
        <w:t xml:space="preserve"> example, considering</w:t>
      </w:r>
      <w:r w:rsidR="002165AF" w:rsidRPr="002165AF">
        <w:rPr>
          <w:lang w:val="en-GB"/>
        </w:rPr>
        <w:t xml:space="preserve"> use case of 1000m by 100m, we assume the maximum distance between a UE and gNB is 500m and the maxi</w:t>
      </w:r>
      <w:r>
        <w:rPr>
          <w:lang w:val="en-GB"/>
        </w:rPr>
        <w:t>mum propagation delay is 1.6 us. Thus, 800 ns synchronization budget would be able to cover this propagation delay error without any compensation. (if we assume propagation delay of 800 ns, error will be</w:t>
      </w:r>
      <w:r w:rsidRPr="00AF7A50">
        <w:rPr>
          <w:rFonts w:hint="eastAsia"/>
        </w:rPr>
        <w:t xml:space="preserve"> </w:t>
      </w:r>
      <w:r w:rsidRPr="00AF7A50">
        <w:rPr>
          <w:rFonts w:hint="eastAsia"/>
          <w:lang w:val="en-GB"/>
        </w:rPr>
        <w:t>±</w:t>
      </w:r>
      <w:r>
        <w:rPr>
          <w:rFonts w:hint="eastAsia"/>
          <w:lang w:val="en-GB"/>
        </w:rPr>
        <w:t>800 ns)</w:t>
      </w:r>
      <w:r>
        <w:rPr>
          <w:lang w:val="en-GB"/>
        </w:rPr>
        <w:t>. Unfortunately, those scenarios are requiring larger cell radius or less Uu interface budget.</w:t>
      </w:r>
    </w:p>
    <w:p w:rsidR="00AF7A50" w:rsidRDefault="00D24702" w:rsidP="002165AF">
      <w:pPr>
        <w:pStyle w:val="Doc"/>
        <w:rPr>
          <w:lang w:val="en-GB"/>
        </w:rPr>
      </w:pPr>
      <w:r>
        <w:rPr>
          <w:lang w:val="en-GB"/>
        </w:rPr>
        <w:t xml:space="preserve">In order to compensate propagation delay, existing TA can be considered. </w:t>
      </w:r>
      <w:r>
        <w:rPr>
          <w:rFonts w:hint="eastAsia"/>
          <w:lang w:val="en-GB"/>
        </w:rPr>
        <w:t xml:space="preserve">Assume that UE is </w:t>
      </w:r>
      <w:r>
        <w:rPr>
          <w:lang w:val="en-GB"/>
        </w:rPr>
        <w:t xml:space="preserve">synchronized by reference timing and TA compensation, simplest procedure would be similar to figure 2. </w:t>
      </w:r>
    </w:p>
    <w:p w:rsidR="00037C1C" w:rsidRDefault="00D24702" w:rsidP="00E34E38">
      <w:pPr>
        <w:pStyle w:val="Doc"/>
        <w:jc w:val="center"/>
        <w:rPr>
          <w:lang w:val="en-GB"/>
        </w:rPr>
      </w:pPr>
      <w:r>
        <w:rPr>
          <w:noProof/>
        </w:rPr>
        <w:drawing>
          <wp:inline distT="0" distB="0" distL="0" distR="0" wp14:anchorId="205C5F5B">
            <wp:extent cx="3600000" cy="1957979"/>
            <wp:effectExtent l="0" t="0" r="63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957979"/>
                    </a:xfrm>
                    <a:prstGeom prst="rect">
                      <a:avLst/>
                    </a:prstGeom>
                    <a:noFill/>
                  </pic:spPr>
                </pic:pic>
              </a:graphicData>
            </a:graphic>
          </wp:inline>
        </w:drawing>
      </w:r>
    </w:p>
    <w:p w:rsidR="00E34E38" w:rsidRDefault="00E34E38" w:rsidP="00E34E38">
      <w:pPr>
        <w:pStyle w:val="Doc"/>
        <w:jc w:val="center"/>
        <w:rPr>
          <w:lang w:val="en-GB"/>
        </w:rPr>
      </w:pPr>
      <w:r>
        <w:rPr>
          <w:rFonts w:hint="eastAsia"/>
          <w:lang w:val="en-GB"/>
        </w:rPr>
        <w:t xml:space="preserve">Figure </w:t>
      </w:r>
      <w:r w:rsidR="00D24702">
        <w:rPr>
          <w:lang w:val="en-GB"/>
        </w:rPr>
        <w:t>3</w:t>
      </w:r>
      <w:r>
        <w:rPr>
          <w:rFonts w:hint="eastAsia"/>
          <w:lang w:val="en-GB"/>
        </w:rPr>
        <w:t xml:space="preserve">. </w:t>
      </w:r>
      <w:r>
        <w:rPr>
          <w:lang w:val="en-GB"/>
        </w:rPr>
        <w:t>Brief synchronization procedure between UE and gNB.</w:t>
      </w:r>
    </w:p>
    <w:p w:rsidR="007551DE" w:rsidRDefault="00D24702" w:rsidP="00037C1C">
      <w:pPr>
        <w:pStyle w:val="Doc"/>
        <w:rPr>
          <w:lang w:val="en-GB"/>
        </w:rPr>
      </w:pPr>
      <w:r>
        <w:rPr>
          <w:lang w:val="en-GB"/>
        </w:rPr>
        <w:t xml:space="preserve">In Figure 3, each node perform one transmission of reference signal and one detection of reference signaling of counterpart. </w:t>
      </w:r>
      <w:r w:rsidR="007551DE">
        <w:rPr>
          <w:lang w:val="en-GB"/>
        </w:rPr>
        <w:t>E</w:t>
      </w:r>
      <w:r>
        <w:rPr>
          <w:lang w:val="en-GB"/>
        </w:rPr>
        <w:t>ach detection and RS transmission would make timing error.</w:t>
      </w:r>
      <w:r w:rsidR="007551DE">
        <w:rPr>
          <w:lang w:val="en-GB"/>
        </w:rPr>
        <w:t xml:space="preserve"> </w:t>
      </w:r>
    </w:p>
    <w:p w:rsidR="007551DE" w:rsidRDefault="007551DE" w:rsidP="007551DE">
      <w:pPr>
        <w:pStyle w:val="Doc"/>
        <w:numPr>
          <w:ilvl w:val="0"/>
          <w:numId w:val="27"/>
        </w:numPr>
        <w:ind w:firstLineChars="0"/>
        <w:rPr>
          <w:lang w:val="en-GB"/>
        </w:rPr>
      </w:pPr>
      <w:r>
        <w:rPr>
          <w:lang w:val="en-GB"/>
        </w:rPr>
        <w:t>Timing error of gNB transmission</w:t>
      </w:r>
      <w:r>
        <w:rPr>
          <w:rFonts w:hint="eastAsia"/>
          <w:lang w:val="en-GB"/>
        </w:rPr>
        <w:t xml:space="preserve"> </w:t>
      </w:r>
      <w:r>
        <w:rPr>
          <w:lang w:val="en-GB"/>
        </w:rPr>
        <w:t xml:space="preserve">can be assumed as 65ns </w:t>
      </w:r>
    </w:p>
    <w:p w:rsidR="00D24702" w:rsidRDefault="007551DE" w:rsidP="007551DE">
      <w:pPr>
        <w:pStyle w:val="Doc"/>
        <w:numPr>
          <w:ilvl w:val="0"/>
          <w:numId w:val="27"/>
        </w:numPr>
        <w:ind w:firstLineChars="0"/>
      </w:pPr>
      <w:r w:rsidRPr="007551DE">
        <w:rPr>
          <w:lang w:val="en-GB"/>
        </w:rPr>
        <w:t>The value defined in Table 7.1.2-1 for initial transmit timing error (Te) in</w:t>
      </w:r>
      <w:r>
        <w:rPr>
          <w:lang w:val="en-GB"/>
        </w:rPr>
        <w:t xml:space="preserve"> TS 38.133 can reflect SSB reception of UE. it would be </w:t>
      </w:r>
      <w:r w:rsidR="00D24702">
        <w:t>from 260 ns to 325 ns</w:t>
      </w:r>
      <w:r>
        <w:t xml:space="preserve"> ((from 8 to 10)</w:t>
      </w:r>
      <w:r w:rsidRPr="009C5807">
        <w:t>*64*T</w:t>
      </w:r>
      <w:r w:rsidRPr="009C5807">
        <w:rPr>
          <w:vertAlign w:val="subscript"/>
        </w:rPr>
        <w:t>c</w:t>
      </w:r>
      <w:r>
        <w:rPr>
          <w:vertAlign w:val="subscript"/>
        </w:rPr>
        <w:t xml:space="preserve"> </w:t>
      </w:r>
      <w:r>
        <w:t>)</w:t>
      </w:r>
    </w:p>
    <w:p w:rsidR="007551DE" w:rsidRDefault="007551DE" w:rsidP="007551DE">
      <w:pPr>
        <w:pStyle w:val="Doc"/>
        <w:numPr>
          <w:ilvl w:val="0"/>
          <w:numId w:val="27"/>
        </w:numPr>
        <w:ind w:firstLineChars="0"/>
        <w:rPr>
          <w:color w:val="000000"/>
        </w:rPr>
      </w:pPr>
      <w:r w:rsidRPr="004859CB">
        <w:rPr>
          <w:color w:val="000000"/>
        </w:rPr>
        <w:t>BS detecting</w:t>
      </w:r>
      <w:r>
        <w:rPr>
          <w:color w:val="000000"/>
        </w:rPr>
        <w:t xml:space="preserve"> error </w:t>
      </w:r>
      <w:r>
        <w:rPr>
          <w:lang w:val="en-GB"/>
        </w:rPr>
        <w:t xml:space="preserve">can be assumed as </w:t>
      </w:r>
      <w:r>
        <w:rPr>
          <w:color w:val="000000"/>
        </w:rPr>
        <w:t xml:space="preserve">100ns </w:t>
      </w:r>
    </w:p>
    <w:p w:rsidR="007551DE" w:rsidRDefault="007551DE" w:rsidP="007551DE">
      <w:pPr>
        <w:pStyle w:val="Doc"/>
        <w:numPr>
          <w:ilvl w:val="0"/>
          <w:numId w:val="27"/>
        </w:numPr>
        <w:ind w:firstLineChars="0"/>
        <w:rPr>
          <w:color w:val="000000"/>
        </w:rPr>
      </w:pPr>
      <w:r>
        <w:rPr>
          <w:color w:val="000000"/>
        </w:rPr>
        <w:t xml:space="preserve">TA indication error </w:t>
      </w:r>
      <w:r w:rsidR="00AE2932">
        <w:rPr>
          <w:color w:val="000000"/>
        </w:rPr>
        <w:t xml:space="preserve">can be assumed as </w:t>
      </w:r>
      <w:r w:rsidR="00AE2932" w:rsidRPr="00A13A17">
        <w:rPr>
          <w:iCs/>
        </w:rPr>
        <w:sym w:font="Symbol" w:char="F0B1"/>
      </w:r>
      <w:r w:rsidR="00AE2932">
        <w:rPr>
          <w:iCs/>
        </w:rPr>
        <w:t xml:space="preserve">130ns or 260ns depending on SCS. </w:t>
      </w:r>
    </w:p>
    <w:p w:rsidR="00AE2932" w:rsidRDefault="00AE2932" w:rsidP="00037C1C">
      <w:pPr>
        <w:pStyle w:val="Doc"/>
        <w:rPr>
          <w:lang w:val="en-GB"/>
        </w:rPr>
      </w:pPr>
      <w:r>
        <w:rPr>
          <w:lang w:val="en-GB"/>
        </w:rPr>
        <w:t>I</w:t>
      </w:r>
      <w:r>
        <w:rPr>
          <w:rFonts w:hint="eastAsia"/>
          <w:lang w:val="en-GB"/>
        </w:rPr>
        <w:t xml:space="preserve">t </w:t>
      </w:r>
      <w:r>
        <w:rPr>
          <w:lang w:val="en-GB"/>
        </w:rPr>
        <w:t>should be note that some error are correlated to other. For example, positive or negative gNB transmission timing error could make UE detecting error better or worse. However, though such optimistic consideration, potential error with existing procedure clearly exceeds Uu interface synchronization budget for CtC scenario (</w:t>
      </w:r>
      <w:r>
        <w:rPr>
          <w:rFonts w:ascii="바탕" w:hAnsi="바탕" w:hint="eastAsia"/>
          <w:lang w:val="en-GB"/>
        </w:rPr>
        <w:t>≤</w:t>
      </w:r>
      <w:r>
        <w:rPr>
          <w:rFonts w:hint="eastAsia"/>
          <w:lang w:val="en-GB"/>
        </w:rPr>
        <w:t>350ns)</w:t>
      </w:r>
      <w:r>
        <w:rPr>
          <w:lang w:val="en-GB"/>
        </w:rPr>
        <w:t>. In addition, according to t</w:t>
      </w:r>
      <w:r w:rsidRPr="00AE2932">
        <w:rPr>
          <w:lang w:val="en-GB"/>
        </w:rPr>
        <w:t>he maximum timing synchronization error results with UE pr</w:t>
      </w:r>
      <w:r>
        <w:rPr>
          <w:lang w:val="en-GB"/>
        </w:rPr>
        <w:t>opagation delay compensation</w:t>
      </w:r>
      <w:r w:rsidRPr="00AE2932">
        <w:rPr>
          <w:lang w:val="en-GB"/>
        </w:rPr>
        <w:t xml:space="preserve"> summarized in </w:t>
      </w:r>
      <w:r>
        <w:rPr>
          <w:lang w:val="en-GB"/>
        </w:rPr>
        <w:t xml:space="preserve">the </w:t>
      </w:r>
      <w:r w:rsidRPr="00AE2932">
        <w:rPr>
          <w:lang w:val="en-GB"/>
        </w:rPr>
        <w:t>NR Industrial Internet of Things (IoT)</w:t>
      </w:r>
      <w:r>
        <w:rPr>
          <w:lang w:val="en-GB"/>
        </w:rPr>
        <w:t xml:space="preserve"> study item, it cannot meet Uu interface synchronization error budget for both 15 kHz and 30 kHz case </w:t>
      </w:r>
    </w:p>
    <w:p w:rsidR="00AE2932" w:rsidRPr="00C366AD" w:rsidRDefault="00AE2932" w:rsidP="00AE2932">
      <w:pPr>
        <w:pStyle w:val="TH"/>
        <w:rPr>
          <w:lang w:eastAsia="zh-CN"/>
        </w:rPr>
      </w:pPr>
      <w:r w:rsidRPr="00C366AD">
        <w:rPr>
          <w:lang w:eastAsia="zh-CN"/>
        </w:rPr>
        <w:lastRenderedPageBreak/>
        <w:t xml:space="preserve">Table </w:t>
      </w:r>
      <w:r>
        <w:rPr>
          <w:lang w:eastAsia="zh-CN"/>
        </w:rPr>
        <w:t>1</w:t>
      </w:r>
      <w:r w:rsidRPr="00C366AD">
        <w:rPr>
          <w:lang w:eastAsia="zh-CN"/>
        </w:rPr>
        <w:t xml:space="preserve">: Summary of </w:t>
      </w:r>
      <w:r w:rsidRPr="00C366AD">
        <w:t xml:space="preserve">maximum timing synchronization error </w:t>
      </w:r>
      <w:r w:rsidRPr="00C366AD">
        <w:rPr>
          <w:lang w:eastAsia="zh-CN"/>
        </w:rPr>
        <w:t xml:space="preserve">results </w:t>
      </w:r>
      <w:r w:rsidRPr="00C366AD">
        <w:rPr>
          <w:lang w:eastAsia="zh-CN"/>
        </w:rPr>
        <w:br/>
        <w:t>with UE propagation delay compensation</w:t>
      </w:r>
      <w:r>
        <w:rPr>
          <w:lang w:eastAsia="zh-CN"/>
        </w:rPr>
        <w:t xml:space="preserve"> from IIoT SI</w:t>
      </w:r>
      <w:r w:rsidR="00854213">
        <w:rPr>
          <w:lang w:eastAsia="zh-CN"/>
        </w:rPr>
        <w:t xml:space="preserve"> </w:t>
      </w:r>
      <w:r w:rsidR="00813245">
        <w:rPr>
          <w:lang w:eastAsia="zh-CN"/>
        </w:rPr>
        <w:t>[3</w:t>
      </w:r>
      <w:r>
        <w:rPr>
          <w:lang w:eastAsia="zh-CN"/>
        </w:rPr>
        <w:t>]</w:t>
      </w:r>
      <w:r w:rsidRPr="00C366AD">
        <w:rPr>
          <w:lang w:eastAsia="zh-C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AE2932" w:rsidRPr="00C366AD" w:rsidTr="004B376F">
        <w:trPr>
          <w:jc w:val="center"/>
        </w:trPr>
        <w:tc>
          <w:tcPr>
            <w:tcW w:w="1556" w:type="dxa"/>
            <w:shd w:val="clear" w:color="auto" w:fill="auto"/>
            <w:vAlign w:val="center"/>
          </w:tcPr>
          <w:p w:rsidR="00AE2932" w:rsidRPr="00C366AD" w:rsidRDefault="00AE2932" w:rsidP="004B376F">
            <w:pPr>
              <w:pStyle w:val="TAH"/>
              <w:rPr>
                <w:lang w:eastAsia="zh-CN"/>
              </w:rPr>
            </w:pPr>
          </w:p>
        </w:tc>
        <w:tc>
          <w:tcPr>
            <w:tcW w:w="1462" w:type="dxa"/>
            <w:shd w:val="clear" w:color="auto" w:fill="auto"/>
            <w:vAlign w:val="center"/>
          </w:tcPr>
          <w:p w:rsidR="00AE2932" w:rsidRPr="00C366AD" w:rsidRDefault="00AE2932" w:rsidP="004B376F">
            <w:pPr>
              <w:pStyle w:val="TAH"/>
              <w:rPr>
                <w:lang w:eastAsia="zh-CN"/>
              </w:rPr>
            </w:pPr>
            <w:r w:rsidRPr="00C366AD">
              <w:rPr>
                <w:lang w:eastAsia="zh-CN"/>
              </w:rPr>
              <w:t>15kHz SCS</w:t>
            </w:r>
          </w:p>
        </w:tc>
        <w:tc>
          <w:tcPr>
            <w:tcW w:w="1463" w:type="dxa"/>
            <w:shd w:val="clear" w:color="auto" w:fill="auto"/>
            <w:vAlign w:val="center"/>
          </w:tcPr>
          <w:p w:rsidR="00AE2932" w:rsidRPr="00C366AD" w:rsidRDefault="00AE2932" w:rsidP="004B376F">
            <w:pPr>
              <w:pStyle w:val="TAH"/>
              <w:rPr>
                <w:lang w:eastAsia="zh-CN"/>
              </w:rPr>
            </w:pPr>
            <w:r w:rsidRPr="00C366AD">
              <w:rPr>
                <w:lang w:eastAsia="zh-CN"/>
              </w:rPr>
              <w:t>30kHz SCS</w:t>
            </w:r>
          </w:p>
        </w:tc>
        <w:tc>
          <w:tcPr>
            <w:tcW w:w="1463" w:type="dxa"/>
            <w:shd w:val="clear" w:color="auto" w:fill="auto"/>
            <w:vAlign w:val="center"/>
          </w:tcPr>
          <w:p w:rsidR="00AE2932" w:rsidRPr="00C366AD" w:rsidRDefault="00AE2932" w:rsidP="004B376F">
            <w:pPr>
              <w:pStyle w:val="TAH"/>
              <w:rPr>
                <w:lang w:eastAsia="zh-CN"/>
              </w:rPr>
            </w:pPr>
            <w:r w:rsidRPr="00C366AD">
              <w:rPr>
                <w:lang w:eastAsia="zh-CN"/>
              </w:rPr>
              <w:t>60kHz SCS</w:t>
            </w:r>
          </w:p>
        </w:tc>
      </w:tr>
      <w:tr w:rsidR="00AE2932" w:rsidRPr="00C366AD" w:rsidTr="004B376F">
        <w:trPr>
          <w:jc w:val="center"/>
        </w:trPr>
        <w:tc>
          <w:tcPr>
            <w:tcW w:w="1556" w:type="dxa"/>
            <w:shd w:val="clear" w:color="auto" w:fill="auto"/>
            <w:vAlign w:val="center"/>
          </w:tcPr>
          <w:p w:rsidR="00AE2932" w:rsidRPr="00C366AD" w:rsidRDefault="00AE2932" w:rsidP="004B376F">
            <w:pPr>
              <w:pStyle w:val="TAL"/>
              <w:rPr>
                <w:lang w:eastAsia="zh-CN"/>
              </w:rPr>
            </w:pPr>
            <w:r w:rsidRPr="00C366AD">
              <w:t>Source</w:t>
            </w:r>
            <w:r w:rsidRPr="00C366AD">
              <w:br/>
            </w:r>
            <w:r w:rsidRPr="00C366AD">
              <w:rPr>
                <w:lang w:eastAsia="zh-CN"/>
              </w:rPr>
              <w:t xml:space="preserve">R1-1900156 </w:t>
            </w:r>
            <w:r w:rsidRPr="00C366AD">
              <w:rPr>
                <w:color w:val="000000"/>
                <w:sz w:val="16"/>
                <w:szCs w:val="16"/>
              </w:rPr>
              <w:t>[21]</w:t>
            </w:r>
          </w:p>
        </w:tc>
        <w:tc>
          <w:tcPr>
            <w:tcW w:w="1462" w:type="dxa"/>
            <w:shd w:val="clear" w:color="auto" w:fill="auto"/>
            <w:vAlign w:val="center"/>
          </w:tcPr>
          <w:p w:rsidR="00AE2932" w:rsidRPr="00C366AD" w:rsidRDefault="00AE2932" w:rsidP="004B376F">
            <w:pPr>
              <w:pStyle w:val="TAL"/>
            </w:pPr>
            <w:r w:rsidRPr="00C366AD">
              <w:t>488ns</w:t>
            </w:r>
          </w:p>
        </w:tc>
        <w:tc>
          <w:tcPr>
            <w:tcW w:w="1463" w:type="dxa"/>
            <w:shd w:val="clear" w:color="auto" w:fill="auto"/>
            <w:vAlign w:val="center"/>
          </w:tcPr>
          <w:p w:rsidR="00AE2932" w:rsidRPr="00C366AD" w:rsidRDefault="00AE2932" w:rsidP="004B376F">
            <w:pPr>
              <w:pStyle w:val="TAL"/>
            </w:pPr>
            <w:r w:rsidRPr="00C366AD">
              <w:t>357.5ns</w:t>
            </w:r>
          </w:p>
        </w:tc>
        <w:tc>
          <w:tcPr>
            <w:tcW w:w="1463" w:type="dxa"/>
            <w:shd w:val="clear" w:color="auto" w:fill="auto"/>
            <w:vAlign w:val="center"/>
          </w:tcPr>
          <w:p w:rsidR="00AE2932" w:rsidRPr="00C366AD" w:rsidRDefault="00AE2932" w:rsidP="004B376F">
            <w:pPr>
              <w:pStyle w:val="TAL"/>
            </w:pPr>
            <w:r w:rsidRPr="00C366AD">
              <w:t>276.5ns</w:t>
            </w:r>
          </w:p>
        </w:tc>
      </w:tr>
      <w:tr w:rsidR="00AE2932" w:rsidRPr="00C366AD" w:rsidTr="004B376F">
        <w:trPr>
          <w:jc w:val="center"/>
        </w:trPr>
        <w:tc>
          <w:tcPr>
            <w:tcW w:w="1556" w:type="dxa"/>
            <w:shd w:val="clear" w:color="auto" w:fill="auto"/>
            <w:vAlign w:val="center"/>
          </w:tcPr>
          <w:p w:rsidR="00AE2932" w:rsidRPr="00C366AD" w:rsidRDefault="00AE2932" w:rsidP="004B376F">
            <w:pPr>
              <w:pStyle w:val="TAL"/>
              <w:rPr>
                <w:lang w:eastAsia="zh-CN"/>
              </w:rPr>
            </w:pPr>
            <w:r w:rsidRPr="00C366AD">
              <w:rPr>
                <w:lang w:eastAsia="zh-CN"/>
              </w:rPr>
              <w:t>Source</w:t>
            </w:r>
            <w:r w:rsidRPr="00C366AD">
              <w:rPr>
                <w:lang w:eastAsia="zh-CN"/>
              </w:rPr>
              <w:br/>
              <w:t xml:space="preserve">R1-1901334 </w:t>
            </w:r>
            <w:r w:rsidRPr="00C366AD">
              <w:rPr>
                <w:color w:val="000000"/>
                <w:sz w:val="16"/>
                <w:szCs w:val="16"/>
              </w:rPr>
              <w:t>[22]</w:t>
            </w:r>
          </w:p>
        </w:tc>
        <w:tc>
          <w:tcPr>
            <w:tcW w:w="1462" w:type="dxa"/>
            <w:shd w:val="clear" w:color="auto" w:fill="auto"/>
            <w:vAlign w:val="center"/>
          </w:tcPr>
          <w:p w:rsidR="00AE2932" w:rsidRPr="00C366AD" w:rsidRDefault="00AE2932" w:rsidP="004B376F">
            <w:pPr>
              <w:pStyle w:val="TAL"/>
            </w:pPr>
            <w:r w:rsidRPr="00C366AD">
              <w:t>505ns</w:t>
            </w:r>
          </w:p>
        </w:tc>
        <w:tc>
          <w:tcPr>
            <w:tcW w:w="1463" w:type="dxa"/>
            <w:shd w:val="clear" w:color="auto" w:fill="auto"/>
            <w:vAlign w:val="center"/>
          </w:tcPr>
          <w:p w:rsidR="00AE2932" w:rsidRPr="00C366AD" w:rsidRDefault="00AE2932" w:rsidP="004B376F">
            <w:pPr>
              <w:pStyle w:val="TAL"/>
            </w:pPr>
            <w:r w:rsidRPr="00C366AD">
              <w:t>371ns</w:t>
            </w:r>
          </w:p>
        </w:tc>
        <w:tc>
          <w:tcPr>
            <w:tcW w:w="1463" w:type="dxa"/>
            <w:shd w:val="clear" w:color="auto" w:fill="auto"/>
            <w:vAlign w:val="center"/>
          </w:tcPr>
          <w:p w:rsidR="00AE2932" w:rsidRPr="00C366AD" w:rsidRDefault="00AE2932" w:rsidP="004B376F">
            <w:pPr>
              <w:pStyle w:val="TAL"/>
            </w:pPr>
            <w:r w:rsidRPr="00C366AD">
              <w:t>287.5ns</w:t>
            </w:r>
          </w:p>
        </w:tc>
      </w:tr>
      <w:tr w:rsidR="00AE2932" w:rsidRPr="00C366AD" w:rsidTr="004B376F">
        <w:trPr>
          <w:jc w:val="center"/>
        </w:trPr>
        <w:tc>
          <w:tcPr>
            <w:tcW w:w="1556" w:type="dxa"/>
            <w:shd w:val="clear" w:color="auto" w:fill="auto"/>
            <w:vAlign w:val="center"/>
          </w:tcPr>
          <w:p w:rsidR="00AE2932" w:rsidRPr="00C366AD" w:rsidRDefault="00AE2932" w:rsidP="004B376F">
            <w:pPr>
              <w:pStyle w:val="TAL"/>
              <w:rPr>
                <w:lang w:eastAsia="zh-CN"/>
              </w:rPr>
            </w:pPr>
            <w:r w:rsidRPr="00C366AD">
              <w:t>Source</w:t>
            </w:r>
            <w:r w:rsidRPr="00C366AD">
              <w:br/>
            </w:r>
            <w:r w:rsidRPr="00C366AD">
              <w:rPr>
                <w:lang w:eastAsia="zh-CN"/>
              </w:rPr>
              <w:t xml:space="preserve">R1-1900935 </w:t>
            </w:r>
            <w:r w:rsidRPr="00C366AD">
              <w:rPr>
                <w:color w:val="000000"/>
                <w:sz w:val="16"/>
                <w:szCs w:val="16"/>
              </w:rPr>
              <w:t>[23]</w:t>
            </w:r>
          </w:p>
        </w:tc>
        <w:tc>
          <w:tcPr>
            <w:tcW w:w="1462" w:type="dxa"/>
            <w:shd w:val="clear" w:color="auto" w:fill="auto"/>
            <w:vAlign w:val="center"/>
          </w:tcPr>
          <w:p w:rsidR="00AE2932" w:rsidRPr="00C366AD" w:rsidRDefault="00AE2932" w:rsidP="004B376F">
            <w:pPr>
              <w:pStyle w:val="TAL"/>
            </w:pPr>
            <w:r w:rsidRPr="00C366AD">
              <w:t>472.5ns</w:t>
            </w:r>
          </w:p>
        </w:tc>
        <w:tc>
          <w:tcPr>
            <w:tcW w:w="1463" w:type="dxa"/>
            <w:shd w:val="clear" w:color="auto" w:fill="auto"/>
            <w:vAlign w:val="center"/>
          </w:tcPr>
          <w:p w:rsidR="00AE2932" w:rsidRPr="00C366AD" w:rsidRDefault="00AE2932" w:rsidP="004B376F">
            <w:pPr>
              <w:pStyle w:val="TAL"/>
            </w:pPr>
            <w:r w:rsidRPr="00C366AD">
              <w:t>338.5ns</w:t>
            </w:r>
          </w:p>
        </w:tc>
        <w:tc>
          <w:tcPr>
            <w:tcW w:w="1463" w:type="dxa"/>
            <w:shd w:val="clear" w:color="auto" w:fill="auto"/>
            <w:vAlign w:val="center"/>
          </w:tcPr>
          <w:p w:rsidR="00AE2932" w:rsidRPr="00C366AD" w:rsidRDefault="00AE2932" w:rsidP="004B376F">
            <w:pPr>
              <w:pStyle w:val="TAL"/>
              <w:rPr>
                <w:lang w:eastAsia="zh-CN"/>
              </w:rPr>
            </w:pPr>
          </w:p>
        </w:tc>
      </w:tr>
      <w:tr w:rsidR="00AE2932" w:rsidRPr="00C366AD" w:rsidTr="004B376F">
        <w:trPr>
          <w:jc w:val="center"/>
        </w:trPr>
        <w:tc>
          <w:tcPr>
            <w:tcW w:w="1556" w:type="dxa"/>
            <w:shd w:val="clear" w:color="auto" w:fill="auto"/>
            <w:vAlign w:val="center"/>
          </w:tcPr>
          <w:p w:rsidR="00AE2932" w:rsidRPr="00C366AD" w:rsidRDefault="00AE2932" w:rsidP="004B376F">
            <w:pPr>
              <w:pStyle w:val="TAL"/>
              <w:rPr>
                <w:lang w:eastAsia="zh-CN"/>
              </w:rPr>
            </w:pPr>
            <w:r w:rsidRPr="00C366AD">
              <w:t>Source</w:t>
            </w:r>
            <w:r w:rsidRPr="00C366AD">
              <w:br/>
            </w:r>
            <w:r w:rsidRPr="00C366AD">
              <w:rPr>
                <w:lang w:eastAsia="zh-CN"/>
              </w:rPr>
              <w:t xml:space="preserve">R1-1901252 </w:t>
            </w:r>
            <w:r w:rsidRPr="00C366AD">
              <w:rPr>
                <w:color w:val="000000"/>
                <w:sz w:val="16"/>
                <w:szCs w:val="16"/>
              </w:rPr>
              <w:t>[24]</w:t>
            </w:r>
          </w:p>
        </w:tc>
        <w:tc>
          <w:tcPr>
            <w:tcW w:w="1462" w:type="dxa"/>
            <w:shd w:val="clear" w:color="auto" w:fill="auto"/>
            <w:vAlign w:val="center"/>
          </w:tcPr>
          <w:p w:rsidR="00AE2932" w:rsidRPr="00C366AD" w:rsidRDefault="00AE2932" w:rsidP="004B376F">
            <w:pPr>
              <w:pStyle w:val="TAL"/>
            </w:pPr>
            <w:r w:rsidRPr="00C366AD">
              <w:t>536ns</w:t>
            </w:r>
          </w:p>
        </w:tc>
        <w:tc>
          <w:tcPr>
            <w:tcW w:w="1463" w:type="dxa"/>
            <w:shd w:val="clear" w:color="auto" w:fill="auto"/>
            <w:vAlign w:val="center"/>
          </w:tcPr>
          <w:p w:rsidR="00AE2932" w:rsidRPr="00C366AD" w:rsidRDefault="00AE2932" w:rsidP="004B376F">
            <w:pPr>
              <w:pStyle w:val="TAL"/>
            </w:pPr>
            <w:r w:rsidRPr="00C366AD">
              <w:t>438ns</w:t>
            </w:r>
          </w:p>
        </w:tc>
        <w:tc>
          <w:tcPr>
            <w:tcW w:w="1463" w:type="dxa"/>
            <w:shd w:val="clear" w:color="auto" w:fill="auto"/>
            <w:vAlign w:val="center"/>
          </w:tcPr>
          <w:p w:rsidR="00AE2932" w:rsidRPr="00C366AD" w:rsidRDefault="00AE2932" w:rsidP="004B376F">
            <w:pPr>
              <w:pStyle w:val="TAL"/>
            </w:pPr>
            <w:r w:rsidRPr="00C366AD">
              <w:t>357ns</w:t>
            </w:r>
          </w:p>
        </w:tc>
      </w:tr>
    </w:tbl>
    <w:p w:rsidR="00AE2932" w:rsidRDefault="00AE2932" w:rsidP="00037C1C">
      <w:pPr>
        <w:pStyle w:val="Doc"/>
        <w:rPr>
          <w:lang w:val="en-GB"/>
        </w:rPr>
      </w:pPr>
    </w:p>
    <w:p w:rsidR="00854213" w:rsidRDefault="00854213" w:rsidP="00854213">
      <w:pPr>
        <w:pStyle w:val="proposal"/>
      </w:pPr>
      <w:r>
        <w:rPr>
          <w:rFonts w:hint="eastAsia"/>
        </w:rPr>
        <w:t xml:space="preserve">Observation: </w:t>
      </w:r>
      <w:r>
        <w:t xml:space="preserve">Legacy </w:t>
      </w:r>
      <w:r w:rsidRPr="00854213">
        <w:t>propagation delay compensation</w:t>
      </w:r>
      <w:r>
        <w:t xml:space="preserve"> cannot meet the requirement of control-to-control scenario. </w:t>
      </w:r>
    </w:p>
    <w:p w:rsidR="00854213" w:rsidRDefault="00854213" w:rsidP="00037C1C">
      <w:pPr>
        <w:pStyle w:val="Doc"/>
        <w:rPr>
          <w:lang w:val="en-GB"/>
        </w:rPr>
      </w:pPr>
    </w:p>
    <w:p w:rsidR="00854213" w:rsidRDefault="00854213" w:rsidP="00854213">
      <w:pPr>
        <w:pStyle w:val="1"/>
        <w:numPr>
          <w:ilvl w:val="1"/>
          <w:numId w:val="1"/>
        </w:numPr>
      </w:pPr>
      <w:r>
        <w:rPr>
          <w:rFonts w:hint="eastAsia"/>
        </w:rPr>
        <w:t>Possible option on RAN1 involvement</w:t>
      </w:r>
    </w:p>
    <w:p w:rsidR="00854213" w:rsidRDefault="00854213" w:rsidP="00854213">
      <w:pPr>
        <w:pStyle w:val="Doc"/>
        <w:rPr>
          <w:lang w:val="en-GB"/>
        </w:rPr>
      </w:pPr>
      <w:r>
        <w:rPr>
          <w:rFonts w:hint="eastAsia"/>
          <w:lang w:val="en-GB"/>
        </w:rPr>
        <w:t xml:space="preserve">We see any kind of RAN1 involvement is necessary in order to support control-to-control scenario. </w:t>
      </w:r>
      <w:r>
        <w:rPr>
          <w:lang w:val="en-GB"/>
        </w:rPr>
        <w:t xml:space="preserve">In the last meeting, following four options has been considered: </w:t>
      </w:r>
    </w:p>
    <w:p w:rsidR="00854213" w:rsidRPr="00D16AD6" w:rsidRDefault="00854213" w:rsidP="00854213">
      <w:pPr>
        <w:numPr>
          <w:ilvl w:val="0"/>
          <w:numId w:val="25"/>
        </w:numPr>
        <w:autoSpaceDE w:val="0"/>
        <w:autoSpaceDN w:val="0"/>
        <w:snapToGrid w:val="0"/>
        <w:spacing w:before="0" w:after="120" w:line="240" w:lineRule="auto"/>
        <w:contextualSpacing/>
      </w:pPr>
      <w:r w:rsidRPr="00D16AD6">
        <w:rPr>
          <w:b/>
          <w:bCs/>
        </w:rPr>
        <w:t>Option 1</w:t>
      </w:r>
      <w:r w:rsidRPr="00D16AD6">
        <w:t>: TA-based propagation delay</w:t>
      </w:r>
    </w:p>
    <w:p w:rsidR="00854213" w:rsidRPr="00D16AD6" w:rsidRDefault="00854213" w:rsidP="00854213">
      <w:pPr>
        <w:numPr>
          <w:ilvl w:val="1"/>
          <w:numId w:val="25"/>
        </w:numPr>
        <w:autoSpaceDE w:val="0"/>
        <w:autoSpaceDN w:val="0"/>
        <w:snapToGrid w:val="0"/>
        <w:spacing w:beforeLines="50" w:before="180" w:after="240" w:line="240" w:lineRule="auto"/>
        <w:ind w:left="2154" w:hanging="357"/>
        <w:contextualSpacing/>
      </w:pPr>
      <w:r w:rsidRPr="00D16AD6">
        <w:rPr>
          <w:b/>
          <w:bCs/>
        </w:rPr>
        <w:t>Option 1a</w:t>
      </w:r>
      <w:r w:rsidRPr="00D16AD6">
        <w:t>: Propagation delay estimation based on legacy Timing advance (potentially with enhanced TA indication granularity).</w:t>
      </w:r>
    </w:p>
    <w:p w:rsidR="00854213" w:rsidRPr="00D16AD6" w:rsidRDefault="00854213" w:rsidP="00854213">
      <w:pPr>
        <w:numPr>
          <w:ilvl w:val="1"/>
          <w:numId w:val="25"/>
        </w:numPr>
        <w:autoSpaceDE w:val="0"/>
        <w:autoSpaceDN w:val="0"/>
        <w:snapToGrid w:val="0"/>
        <w:spacing w:beforeLines="50" w:before="180" w:after="120" w:line="240" w:lineRule="auto"/>
        <w:ind w:left="2160"/>
        <w:contextualSpacing/>
      </w:pPr>
      <w:r w:rsidRPr="00D16AD6">
        <w:rPr>
          <w:b/>
          <w:bCs/>
        </w:rPr>
        <w:t>Option 1b</w:t>
      </w:r>
      <w:r w:rsidRPr="00D16AD6">
        <w:t>: Propagation delay estimation based on timing advanced enhanced for time synchronization (as 1a but with updated RAN4 requirements to TA adjustment error and Te)</w:t>
      </w:r>
    </w:p>
    <w:p w:rsidR="00854213" w:rsidRPr="00D16AD6" w:rsidRDefault="00854213" w:rsidP="00854213">
      <w:pPr>
        <w:numPr>
          <w:ilvl w:val="1"/>
          <w:numId w:val="25"/>
        </w:numPr>
        <w:autoSpaceDE w:val="0"/>
        <w:autoSpaceDN w:val="0"/>
        <w:snapToGrid w:val="0"/>
        <w:spacing w:beforeLines="50" w:before="180" w:after="120" w:line="240" w:lineRule="auto"/>
        <w:ind w:left="2160"/>
        <w:contextualSpacing/>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rsidR="00854213" w:rsidRPr="007E7DE8" w:rsidRDefault="00854213" w:rsidP="00854213">
      <w:pPr>
        <w:autoSpaceDE w:val="0"/>
        <w:autoSpaceDN w:val="0"/>
        <w:snapToGrid w:val="0"/>
        <w:spacing w:beforeLines="50" w:before="180" w:after="120"/>
        <w:ind w:left="2160"/>
        <w:contextualSpacing/>
      </w:pPr>
    </w:p>
    <w:p w:rsidR="00854213" w:rsidRPr="00D16AD6" w:rsidRDefault="00854213" w:rsidP="00854213">
      <w:pPr>
        <w:numPr>
          <w:ilvl w:val="0"/>
          <w:numId w:val="25"/>
        </w:numPr>
        <w:autoSpaceDE w:val="0"/>
        <w:autoSpaceDN w:val="0"/>
        <w:snapToGrid w:val="0"/>
        <w:spacing w:before="0" w:after="120" w:line="240" w:lineRule="auto"/>
        <w:ind w:left="714" w:hanging="357"/>
        <w:contextualSpacing/>
      </w:pPr>
      <w:r w:rsidRPr="00D16AD6">
        <w:rPr>
          <w:b/>
          <w:bCs/>
        </w:rPr>
        <w:t>Option 2</w:t>
      </w:r>
      <w:r w:rsidRPr="00D16AD6">
        <w:t>: RTT based delay compensation:</w:t>
      </w:r>
    </w:p>
    <w:p w:rsidR="00854213" w:rsidRPr="00D16AD6" w:rsidRDefault="00854213" w:rsidP="00854213">
      <w:pPr>
        <w:numPr>
          <w:ilvl w:val="1"/>
          <w:numId w:val="25"/>
        </w:numPr>
        <w:autoSpaceDE w:val="0"/>
        <w:autoSpaceDN w:val="0"/>
        <w:snapToGrid w:val="0"/>
        <w:spacing w:beforeLines="50" w:before="180" w:after="120" w:line="240" w:lineRule="auto"/>
        <w:ind w:left="2160"/>
        <w:contextualSpacing/>
      </w:pPr>
      <w:r w:rsidRPr="00D16AD6">
        <w:t xml:space="preserve">Propagation delay estimation based on an RAN managed Rx-Tx procedure intended for time synchronization (FFS to expand or separate procedure/signaling to positioning). </w:t>
      </w:r>
    </w:p>
    <w:p w:rsidR="007A1630" w:rsidRDefault="00854213" w:rsidP="00374E86">
      <w:pPr>
        <w:pStyle w:val="Doc"/>
        <w:rPr>
          <w:lang w:val="en-GB"/>
        </w:rPr>
      </w:pPr>
      <w:r>
        <w:rPr>
          <w:lang w:val="en-GB"/>
        </w:rPr>
        <w:t xml:space="preserve">Considering upper bound of synchronization </w:t>
      </w:r>
      <w:r w:rsidR="00374E86">
        <w:rPr>
          <w:lang w:val="en-GB"/>
        </w:rPr>
        <w:t xml:space="preserve">error </w:t>
      </w:r>
      <w:r>
        <w:rPr>
          <w:lang w:val="en-GB"/>
        </w:rPr>
        <w:t xml:space="preserve">budget, </w:t>
      </w:r>
      <w:r w:rsidR="00374E86">
        <w:rPr>
          <w:lang w:val="en-GB"/>
        </w:rPr>
        <w:t>Option 1b should be considered as baseline since error portion of initial timing error T</w:t>
      </w:r>
      <w:r w:rsidR="00374E86">
        <w:rPr>
          <w:vertAlign w:val="subscript"/>
          <w:lang w:val="en-GB"/>
        </w:rPr>
        <w:t xml:space="preserve">e </w:t>
      </w:r>
      <w:r w:rsidR="00374E86">
        <w:rPr>
          <w:lang w:val="en-GB"/>
        </w:rPr>
        <w:t>is quite dominant among error component. If it is still not feasible to meet synchronization error budget after minimization of T</w:t>
      </w:r>
      <w:r w:rsidR="00374E86">
        <w:rPr>
          <w:vertAlign w:val="subscript"/>
          <w:lang w:val="en-GB"/>
        </w:rPr>
        <w:t>e</w:t>
      </w:r>
      <w:r w:rsidR="00374E86">
        <w:rPr>
          <w:lang w:val="en-GB"/>
        </w:rPr>
        <w:t xml:space="preserve">, </w:t>
      </w:r>
      <w:r w:rsidR="007A1630">
        <w:rPr>
          <w:lang w:val="en-GB"/>
        </w:rPr>
        <w:t xml:space="preserve">enhanced PD compensation need to be designed. </w:t>
      </w:r>
    </w:p>
    <w:p w:rsidR="007A1630" w:rsidRDefault="007A1630" w:rsidP="00374E86">
      <w:pPr>
        <w:pStyle w:val="Doc"/>
      </w:pPr>
      <w:r>
        <w:rPr>
          <w:rFonts w:hint="eastAsia"/>
        </w:rPr>
        <w:t>With the legacy TA granularity which contributes 130ns to sync inaccuracy, i</w:t>
      </w:r>
      <w:r>
        <w:t>t seems not to satisfy the requirement considering the above-mentioned network part accuracy budget. UE needs finer PD values to compensate PD precisely and we prefer option 1c (</w:t>
      </w:r>
      <w:r w:rsidRPr="009F57B9">
        <w:t>a new dedicated signaling with finer delay compensation granularity</w:t>
      </w:r>
      <w:r>
        <w:t xml:space="preserve">). </w:t>
      </w:r>
      <w:r>
        <w:rPr>
          <w:rFonts w:hint="eastAsia"/>
        </w:rPr>
        <w:t xml:space="preserve">In </w:t>
      </w:r>
      <w:r>
        <w:t>addition</w:t>
      </w:r>
      <w:r>
        <w:rPr>
          <w:rFonts w:hint="eastAsia"/>
        </w:rPr>
        <w:t>,</w:t>
      </w:r>
      <w:r>
        <w:t xml:space="preserve"> if PD can be estimated more precisely by option 2, option 2 can be considered to provide more accurate PD update information along with finer PD granularity.</w:t>
      </w:r>
    </w:p>
    <w:p w:rsidR="007A1630" w:rsidRDefault="007A1630" w:rsidP="007A1630">
      <w:pPr>
        <w:pStyle w:val="proposal"/>
      </w:pPr>
      <w:r>
        <w:rPr>
          <w:rFonts w:hint="eastAsia"/>
        </w:rPr>
        <w:lastRenderedPageBreak/>
        <w:t>Proposal</w:t>
      </w:r>
      <w:r>
        <w:t xml:space="preserve">: Take option 1-b as a baseline for PD compensation enhancement. Consider Option 1-c or option 2 for enhanced PD compensation under option 1-b if necessary. </w:t>
      </w:r>
    </w:p>
    <w:p w:rsidR="007A1630" w:rsidRPr="00374E86" w:rsidRDefault="007A1630" w:rsidP="007A1630">
      <w:pPr>
        <w:pStyle w:val="proposal"/>
      </w:pPr>
    </w:p>
    <w:p w:rsidR="00270818" w:rsidRDefault="00270818" w:rsidP="00B057AD">
      <w:pPr>
        <w:pStyle w:val="1"/>
      </w:pPr>
      <w:r>
        <w:t>Conclusions</w:t>
      </w:r>
    </w:p>
    <w:p w:rsidR="00E747F9" w:rsidRDefault="0052000E" w:rsidP="007A55DC">
      <w:pPr>
        <w:pStyle w:val="Doc"/>
      </w:pPr>
      <w:r>
        <w:t xml:space="preserve">In this contribution, </w:t>
      </w:r>
      <w:r w:rsidR="00854213" w:rsidRPr="00037C1C">
        <w:t>propagation delay compensation enhancements</w:t>
      </w:r>
      <w:r w:rsidR="00854213">
        <w:t xml:space="preserve"> and necessity of RAN1 involvement </w:t>
      </w:r>
      <w:r w:rsidR="00313021">
        <w:t>were discussed</w:t>
      </w:r>
      <w:r w:rsidR="0091245C">
        <w:t xml:space="preserve">, </w:t>
      </w:r>
      <w:r w:rsidR="00BC0709">
        <w:t>and the followings are proposed.</w:t>
      </w:r>
    </w:p>
    <w:p w:rsidR="007A1630" w:rsidRDefault="007A1630" w:rsidP="007A1630">
      <w:pPr>
        <w:pStyle w:val="proposal"/>
      </w:pPr>
      <w:r>
        <w:rPr>
          <w:rFonts w:hint="eastAsia"/>
        </w:rPr>
        <w:t xml:space="preserve">Observation: </w:t>
      </w:r>
      <w:r>
        <w:t xml:space="preserve">Legacy </w:t>
      </w:r>
      <w:r w:rsidRPr="00854213">
        <w:t>propagation delay compensation</w:t>
      </w:r>
      <w:r>
        <w:t xml:space="preserve"> cannot meet the requirement of control-to-control scenario. </w:t>
      </w:r>
    </w:p>
    <w:p w:rsidR="006E43A6" w:rsidRDefault="006E43A6" w:rsidP="006E43A6">
      <w:pPr>
        <w:pStyle w:val="proposal"/>
      </w:pPr>
      <w:r>
        <w:rPr>
          <w:rFonts w:hint="eastAsia"/>
        </w:rPr>
        <w:t>Proposal</w:t>
      </w:r>
      <w:r>
        <w:t xml:space="preserve">: Take option 1-b as a baseline for PD compensation enhancement. Consider Option 1-c or option 2 for enhanced PD compensation under option 1-b if necessary. </w:t>
      </w:r>
    </w:p>
    <w:p w:rsidR="00BC0709" w:rsidRPr="00313021" w:rsidRDefault="00BC0709" w:rsidP="00E3636D">
      <w:pPr>
        <w:spacing w:before="120" w:after="120" w:line="240" w:lineRule="auto"/>
        <w:ind w:left="284" w:hangingChars="129"/>
        <w:rPr>
          <w:rFonts w:eastAsia="바탕"/>
          <w:sz w:val="22"/>
          <w:szCs w:val="22"/>
          <w:lang w:eastAsia="ko-KR"/>
        </w:rPr>
      </w:pPr>
    </w:p>
    <w:p w:rsidR="009E12C3" w:rsidRPr="002F2D18" w:rsidRDefault="009E12C3" w:rsidP="00B057AD">
      <w:pPr>
        <w:pStyle w:val="1"/>
      </w:pPr>
      <w:r w:rsidRPr="002F2D18">
        <w:t>References</w:t>
      </w:r>
    </w:p>
    <w:p w:rsidR="00926D72" w:rsidRDefault="00037C1C" w:rsidP="00926D72">
      <w:pPr>
        <w:pStyle w:val="References"/>
        <w:rPr>
          <w:rFonts w:eastAsiaTheme="minorEastAsia"/>
          <w:szCs w:val="22"/>
          <w:lang w:eastAsia="ko-KR"/>
        </w:rPr>
      </w:pPr>
      <w:r>
        <w:rPr>
          <w:rFonts w:eastAsiaTheme="minorEastAsia"/>
          <w:szCs w:val="22"/>
          <w:lang w:eastAsia="ko-KR"/>
        </w:rPr>
        <w:t>RAN1 Chairman notes, RAN1#102-e</w:t>
      </w:r>
    </w:p>
    <w:p w:rsidR="00813245" w:rsidRPr="00813245" w:rsidRDefault="00813245" w:rsidP="00A92892">
      <w:pPr>
        <w:pStyle w:val="References"/>
        <w:rPr>
          <w:rFonts w:eastAsiaTheme="minorEastAsia"/>
          <w:szCs w:val="22"/>
          <w:lang w:eastAsia="ko-KR"/>
        </w:rPr>
      </w:pPr>
      <w:r w:rsidRPr="00813245">
        <w:rPr>
          <w:rFonts w:eastAsiaTheme="minorEastAsia" w:hint="eastAsia"/>
          <w:szCs w:val="22"/>
          <w:lang w:eastAsia="ko-KR"/>
        </w:rPr>
        <w:t>TS 22.104</w:t>
      </w:r>
      <w:r w:rsidRPr="00813245">
        <w:rPr>
          <w:rFonts w:eastAsiaTheme="minorEastAsia"/>
          <w:szCs w:val="22"/>
          <w:lang w:eastAsia="ko-KR"/>
        </w:rPr>
        <w:t xml:space="preserve"> v17.4.0, Service requirements for cyber-physical control applications in vertical domains; Stage 1</w:t>
      </w:r>
      <w:r>
        <w:rPr>
          <w:rFonts w:eastAsiaTheme="minorEastAsia"/>
          <w:szCs w:val="22"/>
          <w:lang w:eastAsia="ko-KR"/>
        </w:rPr>
        <w:t xml:space="preserve"> </w:t>
      </w:r>
      <w:r w:rsidRPr="00813245">
        <w:rPr>
          <w:rFonts w:eastAsiaTheme="minorEastAsia"/>
          <w:szCs w:val="22"/>
          <w:lang w:eastAsia="ko-KR"/>
        </w:rPr>
        <w:t>(Release 17)</w:t>
      </w:r>
    </w:p>
    <w:p w:rsidR="00813245" w:rsidRDefault="00813245" w:rsidP="00926D72">
      <w:pPr>
        <w:pStyle w:val="References"/>
        <w:rPr>
          <w:rFonts w:eastAsiaTheme="minorEastAsia"/>
          <w:szCs w:val="22"/>
          <w:lang w:eastAsia="ko-KR"/>
        </w:rPr>
      </w:pPr>
      <w:r>
        <w:rPr>
          <w:rFonts w:eastAsia="바탕"/>
          <w:szCs w:val="22"/>
          <w:lang w:eastAsia="ko-KR"/>
        </w:rPr>
        <w:t xml:space="preserve">TR 38.825 v16.0.0, </w:t>
      </w:r>
      <w:r w:rsidRPr="00AE2932">
        <w:rPr>
          <w:rFonts w:eastAsia="바탕"/>
          <w:szCs w:val="22"/>
          <w:lang w:eastAsia="ko-KR"/>
        </w:rPr>
        <w:t>Study on NR Indu</w:t>
      </w:r>
      <w:r>
        <w:rPr>
          <w:rFonts w:eastAsia="바탕"/>
          <w:szCs w:val="22"/>
          <w:lang w:eastAsia="ko-KR"/>
        </w:rPr>
        <w:t>strial Internet of Things (IoT)</w:t>
      </w: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59D" w:rsidRDefault="0059159D" w:rsidP="00CB15B0">
      <w:pPr>
        <w:spacing w:before="0" w:after="0" w:line="240" w:lineRule="auto"/>
      </w:pPr>
      <w:r>
        <w:separator/>
      </w:r>
    </w:p>
  </w:endnote>
  <w:endnote w:type="continuationSeparator" w:id="0">
    <w:p w:rsidR="0059159D" w:rsidRDefault="0059159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59D" w:rsidRDefault="0059159D" w:rsidP="00CB15B0">
      <w:pPr>
        <w:spacing w:before="0" w:after="0" w:line="240" w:lineRule="auto"/>
      </w:pPr>
      <w:r>
        <w:separator/>
      </w:r>
    </w:p>
  </w:footnote>
  <w:footnote w:type="continuationSeparator" w:id="0">
    <w:p w:rsidR="0059159D" w:rsidRDefault="0059159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1074F"/>
    <w:multiLevelType w:val="hybridMultilevel"/>
    <w:tmpl w:val="15D05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B164925"/>
    <w:multiLevelType w:val="hybridMultilevel"/>
    <w:tmpl w:val="A38EF99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바탕"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6B03A4C"/>
    <w:multiLevelType w:val="hybridMultilevel"/>
    <w:tmpl w:val="D3FAA4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6" w15:restartNumberingAfterBreak="0">
    <w:nsid w:val="48110173"/>
    <w:multiLevelType w:val="hybridMultilevel"/>
    <w:tmpl w:val="779E58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D725812"/>
    <w:multiLevelType w:val="hybridMultilevel"/>
    <w:tmpl w:val="E1A0658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1" w15:restartNumberingAfterBreak="0">
    <w:nsid w:val="6D9E25EF"/>
    <w:multiLevelType w:val="hybridMultilevel"/>
    <w:tmpl w:val="DB46C5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64745A6"/>
    <w:multiLevelType w:val="hybridMultilevel"/>
    <w:tmpl w:val="61A2F1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E00173"/>
    <w:multiLevelType w:val="hybridMultilevel"/>
    <w:tmpl w:val="75466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2"/>
  </w:num>
  <w:num w:numId="2">
    <w:abstractNumId w:val="0"/>
  </w:num>
  <w:num w:numId="3">
    <w:abstractNumId w:val="15"/>
  </w:num>
  <w:num w:numId="4">
    <w:abstractNumId w:val="11"/>
  </w:num>
  <w:num w:numId="5">
    <w:abstractNumId w:val="6"/>
  </w:num>
  <w:num w:numId="6">
    <w:abstractNumId w:val="12"/>
  </w:num>
  <w:num w:numId="7">
    <w:abstractNumId w:val="14"/>
  </w:num>
  <w:num w:numId="8">
    <w:abstractNumId w:val="2"/>
  </w:num>
  <w:num w:numId="9">
    <w:abstractNumId w:val="1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0"/>
  </w:num>
  <w:num w:numId="13">
    <w:abstractNumId w:val="8"/>
  </w:num>
  <w:num w:numId="14">
    <w:abstractNumId w:val="13"/>
  </w:num>
  <w:num w:numId="15">
    <w:abstractNumId w:val="1"/>
  </w:num>
  <w:num w:numId="16">
    <w:abstractNumId w:val="1"/>
  </w:num>
  <w:num w:numId="17">
    <w:abstractNumId w:val="7"/>
  </w:num>
  <w:num w:numId="18">
    <w:abstractNumId w:val="25"/>
  </w:num>
  <w:num w:numId="19">
    <w:abstractNumId w:val="4"/>
  </w:num>
  <w:num w:numId="20">
    <w:abstractNumId w:val="24"/>
  </w:num>
  <w:num w:numId="21">
    <w:abstractNumId w:val="16"/>
  </w:num>
  <w:num w:numId="22">
    <w:abstractNumId w:val="21"/>
  </w:num>
  <w:num w:numId="23">
    <w:abstractNumId w:val="9"/>
  </w:num>
  <w:num w:numId="24">
    <w:abstractNumId w:val="3"/>
  </w:num>
  <w:num w:numId="25">
    <w:abstractNumId w:val="10"/>
  </w:num>
  <w:num w:numId="26">
    <w:abstractNumId w:val="23"/>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C1C"/>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98B"/>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CD3"/>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315"/>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5A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A69"/>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CA"/>
    <w:rsid w:val="003706AE"/>
    <w:rsid w:val="00371283"/>
    <w:rsid w:val="0037205B"/>
    <w:rsid w:val="003720ED"/>
    <w:rsid w:val="00373473"/>
    <w:rsid w:val="00373D9D"/>
    <w:rsid w:val="003744C8"/>
    <w:rsid w:val="00374785"/>
    <w:rsid w:val="00374B7A"/>
    <w:rsid w:val="00374E86"/>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FB3"/>
    <w:rsid w:val="00545111"/>
    <w:rsid w:val="005452C7"/>
    <w:rsid w:val="0054575C"/>
    <w:rsid w:val="00545798"/>
    <w:rsid w:val="005458B0"/>
    <w:rsid w:val="00545D30"/>
    <w:rsid w:val="00546C9C"/>
    <w:rsid w:val="005472EE"/>
    <w:rsid w:val="005473DD"/>
    <w:rsid w:val="00547554"/>
    <w:rsid w:val="00547B12"/>
    <w:rsid w:val="00550A2F"/>
    <w:rsid w:val="00550FB7"/>
    <w:rsid w:val="00551431"/>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59D"/>
    <w:rsid w:val="00591623"/>
    <w:rsid w:val="00591764"/>
    <w:rsid w:val="00591806"/>
    <w:rsid w:val="00591948"/>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3A6"/>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1DE"/>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1630"/>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E7DE8"/>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245"/>
    <w:rsid w:val="00813AD1"/>
    <w:rsid w:val="00813D35"/>
    <w:rsid w:val="00813FB0"/>
    <w:rsid w:val="0081461D"/>
    <w:rsid w:val="0081511C"/>
    <w:rsid w:val="008159BE"/>
    <w:rsid w:val="00815BEA"/>
    <w:rsid w:val="00815DD1"/>
    <w:rsid w:val="008163D8"/>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FE4"/>
    <w:rsid w:val="008507B8"/>
    <w:rsid w:val="00850C32"/>
    <w:rsid w:val="00851FCF"/>
    <w:rsid w:val="008520D2"/>
    <w:rsid w:val="00852BFD"/>
    <w:rsid w:val="00853055"/>
    <w:rsid w:val="00853E20"/>
    <w:rsid w:val="00854213"/>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6EDB"/>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385"/>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4D0A"/>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932"/>
    <w:rsid w:val="00AE2C98"/>
    <w:rsid w:val="00AE2D22"/>
    <w:rsid w:val="00AE340C"/>
    <w:rsid w:val="00AE356A"/>
    <w:rsid w:val="00AE3AB2"/>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A50"/>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84D"/>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7F3"/>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7A7"/>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812"/>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C91"/>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702"/>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4F3F"/>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6FA4"/>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2A3"/>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4E38"/>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579"/>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A3D"/>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5F16A36-27EC-4D7E-B210-32EBF059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5FF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B057AD"/>
    <w:pPr>
      <w:numPr>
        <w:numId w:val="5"/>
      </w:numPr>
      <w:spacing w:before="120" w:after="120" w:line="240" w:lineRule="auto"/>
    </w:pPr>
    <w:rPr>
      <w:rFonts w:eastAsia="바탕"/>
      <w:b/>
      <w:sz w:val="24"/>
      <w:szCs w:val="24"/>
      <w:lang w:eastAsia="ko-KR"/>
    </w:rPr>
  </w:style>
  <w:style w:type="character" w:customStyle="1" w:styleId="subheaderChar">
    <w:name w:val="subheader Char"/>
    <w:basedOn w:val="a1"/>
    <w:link w:val="subheader"/>
    <w:rsid w:val="00B057AD"/>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B1F1B-4B67-40D9-8103-9DF7B1246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6</Pages>
  <Words>1537</Words>
  <Characters>8765</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Duckhyun Bae</cp:lastModifiedBy>
  <cp:revision>10</cp:revision>
  <cp:lastPrinted>2018-02-12T06:55:00Z</cp:lastPrinted>
  <dcterms:created xsi:type="dcterms:W3CDTF">2020-05-15T08:19:00Z</dcterms:created>
  <dcterms:modified xsi:type="dcterms:W3CDTF">2020-10-23T16:42:00Z</dcterms:modified>
</cp:coreProperties>
</file>